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bookmarkStart w:id="0" w:name="_Toc18428_WPSOffice_Type3"/>
      <w:bookmarkStart w:id="1" w:name="bookmark8"/>
      <w:bookmarkStart w:id="2" w:name="bookmark7"/>
      <w:bookmarkStart w:id="3" w:name="bookmark6"/>
    </w:p>
    <w:p>
      <w:pPr>
        <w:spacing w:line="360" w:lineRule="auto"/>
        <w:jc w:val="center"/>
        <w:rPr>
          <w:rFonts w:ascii="黑体" w:hAnsi="黑体" w:eastAsia="黑体"/>
          <w:sz w:val="44"/>
          <w:szCs w:val="44"/>
          <w:lang w:eastAsia="zh-CN"/>
        </w:rPr>
      </w:pPr>
      <w:r>
        <w:rPr>
          <w:rFonts w:hint="eastAsia" w:ascii="黑体" w:hAnsi="黑体" w:eastAsia="黑体"/>
          <w:sz w:val="44"/>
          <w:szCs w:val="44"/>
          <w:lang w:eastAsia="zh-CN"/>
        </w:rPr>
        <w:t>2022年度南京市大数据管理局</w:t>
      </w:r>
    </w:p>
    <w:p>
      <w:pPr>
        <w:spacing w:line="360" w:lineRule="auto"/>
        <w:jc w:val="center"/>
        <w:rPr>
          <w:rFonts w:ascii="黑体" w:hAnsi="黑体" w:eastAsia="黑体"/>
          <w:sz w:val="44"/>
          <w:szCs w:val="44"/>
          <w:lang w:eastAsia="zh-CN"/>
        </w:rPr>
      </w:pPr>
      <w:r>
        <w:rPr>
          <w:rFonts w:hint="eastAsia" w:ascii="黑体" w:hAnsi="黑体" w:eastAsia="黑体"/>
          <w:sz w:val="44"/>
          <w:szCs w:val="44"/>
          <w:lang w:eastAsia="zh-CN"/>
        </w:rPr>
        <w:t>整体绩效评价报告</w:t>
      </w:r>
    </w:p>
    <w:p>
      <w:pPr>
        <w:spacing w:line="360" w:lineRule="auto"/>
        <w:jc w:val="center"/>
        <w:rPr>
          <w:rFonts w:ascii="黑体" w:hAnsi="黑体" w:eastAsia="黑体"/>
          <w:sz w:val="44"/>
          <w:szCs w:val="44"/>
          <w:lang w:eastAsia="zh-CN"/>
        </w:rPr>
      </w:pPr>
    </w:p>
    <w:p>
      <w:pPr>
        <w:pStyle w:val="2"/>
        <w:jc w:val="center"/>
        <w:rPr>
          <w:rFonts w:ascii="黑体" w:hAnsi="黑体" w:eastAsia="黑体"/>
          <w:sz w:val="44"/>
          <w:szCs w:val="44"/>
          <w:lang w:val="en-US" w:bidi="en-US"/>
        </w:rPr>
      </w:pPr>
    </w:p>
    <w:p>
      <w:pPr>
        <w:pStyle w:val="2"/>
        <w:jc w:val="center"/>
        <w:rPr>
          <w:rFonts w:ascii="黑体" w:hAnsi="黑体" w:eastAsia="黑体"/>
          <w:sz w:val="44"/>
          <w:szCs w:val="44"/>
          <w:lang w:val="en-US" w:bidi="en-US"/>
        </w:rPr>
      </w:pPr>
    </w:p>
    <w:p>
      <w:pPr>
        <w:jc w:val="center"/>
        <w:rPr>
          <w:rFonts w:ascii="黑体" w:hAnsi="黑体" w:eastAsia="黑体"/>
          <w:sz w:val="44"/>
          <w:szCs w:val="44"/>
          <w:lang w:eastAsia="zh-CN"/>
        </w:rPr>
      </w:pPr>
    </w:p>
    <w:p>
      <w:pPr>
        <w:spacing w:line="360" w:lineRule="auto"/>
        <w:jc w:val="center"/>
        <w:rPr>
          <w:rFonts w:ascii="黑体" w:hAnsi="黑体" w:eastAsia="黑体"/>
          <w:sz w:val="44"/>
          <w:szCs w:val="44"/>
          <w:lang w:eastAsia="zh-CN"/>
        </w:rPr>
      </w:pPr>
    </w:p>
    <w:p>
      <w:pPr>
        <w:jc w:val="center"/>
        <w:rPr>
          <w:rFonts w:ascii="黑体" w:hAnsi="黑体" w:eastAsia="黑体"/>
          <w:sz w:val="44"/>
          <w:szCs w:val="44"/>
          <w:lang w:eastAsia="zh-CN"/>
        </w:rPr>
      </w:pPr>
    </w:p>
    <w:p>
      <w:pPr>
        <w:pStyle w:val="2"/>
        <w:jc w:val="center"/>
        <w:rPr>
          <w:rFonts w:ascii="黑体" w:hAnsi="黑体" w:eastAsia="黑体"/>
          <w:sz w:val="44"/>
          <w:szCs w:val="44"/>
          <w:lang w:val="en-US" w:bidi="en-US"/>
        </w:rPr>
      </w:pPr>
    </w:p>
    <w:p>
      <w:pPr>
        <w:jc w:val="center"/>
        <w:rPr>
          <w:sz w:val="44"/>
          <w:szCs w:val="44"/>
          <w:lang w:eastAsia="zh-CN"/>
        </w:rPr>
      </w:pPr>
    </w:p>
    <w:p>
      <w:pPr>
        <w:pStyle w:val="2"/>
        <w:jc w:val="center"/>
        <w:rPr>
          <w:rFonts w:ascii="黑体" w:hAnsi="黑体" w:eastAsia="黑体"/>
          <w:sz w:val="44"/>
          <w:szCs w:val="44"/>
          <w:lang w:val="en-US" w:bidi="en-US"/>
        </w:rPr>
      </w:pPr>
    </w:p>
    <w:p>
      <w:pPr>
        <w:jc w:val="center"/>
        <w:rPr>
          <w:rFonts w:eastAsia="黑体"/>
          <w:lang w:eastAsia="zh-CN"/>
        </w:rPr>
      </w:pPr>
    </w:p>
    <w:p>
      <w:pPr>
        <w:spacing w:line="360" w:lineRule="auto"/>
        <w:jc w:val="center"/>
        <w:rPr>
          <w:rFonts w:ascii="黑体" w:hAnsi="黑体" w:eastAsia="黑体"/>
          <w:sz w:val="44"/>
          <w:szCs w:val="44"/>
          <w:lang w:eastAsia="zh-CN"/>
        </w:rPr>
        <w:sectPr>
          <w:footerReference r:id="rId5" w:type="default"/>
          <w:pgSz w:w="11900" w:h="16840"/>
          <w:pgMar w:top="2837" w:right="1672" w:bottom="2837" w:left="1775" w:header="2409" w:footer="2409" w:gutter="0"/>
          <w:cols w:space="720" w:num="1"/>
          <w:docGrid w:linePitch="360" w:charSpace="0"/>
        </w:sectPr>
      </w:pPr>
      <w:r>
        <w:rPr>
          <w:rFonts w:hint="eastAsia" w:ascii="黑体" w:hAnsi="黑体" w:eastAsia="黑体"/>
          <w:sz w:val="44"/>
          <w:szCs w:val="44"/>
          <w:lang w:eastAsia="zh-CN"/>
        </w:rPr>
        <w:t>二〇二三年六月</w:t>
      </w:r>
    </w:p>
    <w:sdt>
      <w:sdtPr>
        <w:rPr>
          <w:rFonts w:ascii="Times New Roman" w:hAnsi="Times New Roman" w:eastAsia="宋体" w:cs="Times New Roman"/>
          <w:color w:val="auto"/>
          <w:sz w:val="20"/>
          <w:szCs w:val="20"/>
          <w:lang w:val="zh-CN"/>
        </w:rPr>
        <w:id w:val="-782025946"/>
        <w:docPartObj>
          <w:docPartGallery w:val="Table of Contents"/>
          <w:docPartUnique/>
        </w:docPartObj>
      </w:sdtPr>
      <w:sdtEndPr>
        <w:rPr>
          <w:rFonts w:ascii="仿宋" w:hAnsi="仿宋" w:eastAsia="仿宋" w:cs="Times New Roman"/>
          <w:b/>
          <w:bCs/>
          <w:color w:val="000000"/>
          <w:sz w:val="20"/>
          <w:szCs w:val="20"/>
          <w:lang w:val="zh-CN" w:eastAsia="en-US" w:bidi="en-US"/>
        </w:rPr>
      </w:sdtEndPr>
      <w:sdtContent>
        <w:p>
          <w:pPr>
            <w:pStyle w:val="61"/>
            <w:jc w:val="center"/>
            <w:rPr>
              <w:b/>
              <w:bCs/>
              <w:color w:val="auto"/>
              <w:sz w:val="44"/>
              <w:szCs w:val="44"/>
            </w:rPr>
          </w:pPr>
          <w:r>
            <w:rPr>
              <w:b/>
              <w:bCs/>
              <w:color w:val="auto"/>
              <w:sz w:val="40"/>
              <w:szCs w:val="40"/>
              <w:lang w:val="zh-CN"/>
            </w:rPr>
            <w:t>目录</w:t>
          </w:r>
        </w:p>
        <w:p>
          <w:pPr>
            <w:pStyle w:val="11"/>
            <w:tabs>
              <w:tab w:val="right" w:leader="dot" w:pos="8580"/>
            </w:tabs>
            <w:spacing w:line="360" w:lineRule="auto"/>
            <w:rPr>
              <w:rFonts w:ascii="仿宋" w:hAnsi="仿宋" w:eastAsia="仿宋" w:cstheme="minorBidi"/>
              <w:b/>
              <w:bCs/>
              <w:color w:val="auto"/>
              <w:kern w:val="2"/>
              <w:sz w:val="30"/>
              <w:szCs w:val="30"/>
              <w:lang w:eastAsia="zh-CN" w:bidi="ar-SA"/>
              <w14:ligatures w14:val="standardContextual"/>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"_Toc138253184" </w:instrText>
          </w:r>
          <w:r>
            <w:fldChar w:fldCharType="separate"/>
          </w:r>
          <w:r>
            <w:rPr>
              <w:rStyle w:val="16"/>
              <w:rFonts w:ascii="仿宋" w:hAnsi="仿宋" w:eastAsia="仿宋"/>
              <w:b/>
              <w:bCs/>
              <w:sz w:val="30"/>
              <w:szCs w:val="30"/>
              <w:lang w:bidi="zh-CN"/>
            </w:rPr>
            <w:t>一、部门概况</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_Toc138253184 \h </w:instrText>
          </w:r>
          <w:r>
            <w:rPr>
              <w:rFonts w:ascii="仿宋" w:hAnsi="仿宋" w:eastAsia="仿宋"/>
              <w:b/>
              <w:bCs/>
              <w:sz w:val="30"/>
              <w:szCs w:val="30"/>
            </w:rPr>
            <w:fldChar w:fldCharType="separate"/>
          </w:r>
          <w:r>
            <w:rPr>
              <w:rFonts w:ascii="仿宋" w:hAnsi="仿宋" w:eastAsia="仿宋"/>
              <w:b/>
              <w:bCs/>
              <w:sz w:val="30"/>
              <w:szCs w:val="30"/>
            </w:rPr>
            <w:t>1</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"_Toc138253185" </w:instrText>
          </w:r>
          <w:r>
            <w:fldChar w:fldCharType="separate"/>
          </w:r>
          <w:r>
            <w:rPr>
              <w:rStyle w:val="16"/>
              <w:rFonts w:ascii="仿宋" w:hAnsi="仿宋" w:eastAsia="仿宋"/>
              <w:b/>
              <w:bCs/>
              <w:sz w:val="30"/>
              <w:szCs w:val="30"/>
            </w:rPr>
            <w:t>（一）部门基本情况</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_Toc138253185 \h </w:instrText>
          </w:r>
          <w:r>
            <w:rPr>
              <w:rFonts w:ascii="仿宋" w:hAnsi="仿宋" w:eastAsia="仿宋"/>
              <w:b/>
              <w:bCs/>
              <w:sz w:val="30"/>
              <w:szCs w:val="30"/>
            </w:rPr>
            <w:fldChar w:fldCharType="separate"/>
          </w:r>
          <w:r>
            <w:rPr>
              <w:rFonts w:ascii="仿宋" w:hAnsi="仿宋" w:eastAsia="仿宋"/>
              <w:b/>
              <w:bCs/>
              <w:sz w:val="30"/>
              <w:szCs w:val="30"/>
            </w:rPr>
            <w:t>1</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"_Toc138253186" </w:instrText>
          </w:r>
          <w:r>
            <w:fldChar w:fldCharType="separate"/>
          </w:r>
          <w:r>
            <w:rPr>
              <w:rStyle w:val="16"/>
              <w:rFonts w:ascii="仿宋" w:hAnsi="仿宋" w:eastAsia="仿宋"/>
              <w:b/>
              <w:bCs/>
              <w:sz w:val="30"/>
              <w:szCs w:val="30"/>
            </w:rPr>
            <w:t>（二）部门收支情况</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_Toc138253186 \h </w:instrText>
          </w:r>
          <w:r>
            <w:rPr>
              <w:rFonts w:ascii="仿宋" w:hAnsi="仿宋" w:eastAsia="仿宋"/>
              <w:b/>
              <w:bCs/>
              <w:sz w:val="30"/>
              <w:szCs w:val="30"/>
            </w:rPr>
            <w:fldChar w:fldCharType="separate"/>
          </w:r>
          <w:r>
            <w:rPr>
              <w:rFonts w:ascii="仿宋" w:hAnsi="仿宋" w:eastAsia="仿宋"/>
              <w:b/>
              <w:bCs/>
              <w:sz w:val="30"/>
              <w:szCs w:val="30"/>
            </w:rPr>
            <w:t>3</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"_Toc138253187" </w:instrText>
          </w:r>
          <w:r>
            <w:fldChar w:fldCharType="separate"/>
          </w:r>
          <w:r>
            <w:rPr>
              <w:rStyle w:val="16"/>
              <w:rFonts w:ascii="仿宋" w:hAnsi="仿宋" w:eastAsia="仿宋"/>
              <w:b/>
              <w:bCs/>
              <w:sz w:val="30"/>
              <w:szCs w:val="30"/>
            </w:rPr>
            <w:t>（三）部门绩效目标</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_Toc138253187 \h </w:instrText>
          </w:r>
          <w:r>
            <w:rPr>
              <w:rFonts w:ascii="仿宋" w:hAnsi="仿宋" w:eastAsia="仿宋"/>
              <w:b/>
              <w:bCs/>
              <w:sz w:val="30"/>
              <w:szCs w:val="30"/>
            </w:rPr>
            <w:fldChar w:fldCharType="separate"/>
          </w:r>
          <w:r>
            <w:rPr>
              <w:rFonts w:ascii="仿宋" w:hAnsi="仿宋" w:eastAsia="仿宋"/>
              <w:b/>
              <w:bCs/>
              <w:sz w:val="30"/>
              <w:szCs w:val="30"/>
            </w:rPr>
            <w:t>3</w:t>
          </w:r>
          <w:r>
            <w:rPr>
              <w:rFonts w:ascii="仿宋" w:hAnsi="仿宋" w:eastAsia="仿宋"/>
              <w:b/>
              <w:bCs/>
              <w:sz w:val="30"/>
              <w:szCs w:val="30"/>
            </w:rPr>
            <w:fldChar w:fldCharType="end"/>
          </w:r>
          <w:r>
            <w:rPr>
              <w:rFonts w:ascii="仿宋" w:hAnsi="仿宋" w:eastAsia="仿宋"/>
              <w:b/>
              <w:bCs/>
              <w:sz w:val="30"/>
              <w:szCs w:val="30"/>
            </w:rPr>
            <w:fldChar w:fldCharType="end"/>
          </w:r>
        </w:p>
        <w:p>
          <w:pPr>
            <w:pStyle w:val="11"/>
            <w:tabs>
              <w:tab w:val="right" w:leader="dot" w:pos="8580"/>
            </w:tabs>
            <w:spacing w:line="360" w:lineRule="auto"/>
            <w:rPr>
              <w:rFonts w:ascii="仿宋" w:hAnsi="仿宋" w:eastAsia="仿宋" w:cstheme="minorBidi"/>
              <w:b/>
              <w:bCs/>
              <w:color w:val="auto"/>
              <w:kern w:val="2"/>
              <w:sz w:val="30"/>
              <w:szCs w:val="30"/>
              <w:lang w:eastAsia="zh-CN" w:bidi="ar-SA"/>
              <w14:ligatures w14:val="standardContextual"/>
            </w:rPr>
          </w:pPr>
          <w:r>
            <w:fldChar w:fldCharType="begin"/>
          </w:r>
          <w:r>
            <w:instrText xml:space="preserve"> HYPERLINK \l "_Toc138253188" </w:instrText>
          </w:r>
          <w:r>
            <w:fldChar w:fldCharType="separate"/>
          </w:r>
          <w:r>
            <w:rPr>
              <w:rStyle w:val="16"/>
              <w:rFonts w:ascii="仿宋" w:hAnsi="仿宋" w:eastAsia="仿宋" w:cs="黑体"/>
              <w:b/>
              <w:bCs/>
              <w:sz w:val="30"/>
              <w:szCs w:val="30"/>
              <w:lang w:val="zh-CN" w:eastAsia="zh-CN" w:bidi="zh-CN"/>
            </w:rPr>
            <w:t>二、评价结论</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_Toc138253188 \h </w:instrText>
          </w:r>
          <w:r>
            <w:rPr>
              <w:rFonts w:ascii="仿宋" w:hAnsi="仿宋" w:eastAsia="仿宋"/>
              <w:b/>
              <w:bCs/>
              <w:sz w:val="30"/>
              <w:szCs w:val="30"/>
            </w:rPr>
            <w:fldChar w:fldCharType="separate"/>
          </w:r>
          <w:r>
            <w:rPr>
              <w:rFonts w:ascii="仿宋" w:hAnsi="仿宋" w:eastAsia="仿宋"/>
              <w:b/>
              <w:bCs/>
              <w:sz w:val="30"/>
              <w:szCs w:val="30"/>
            </w:rPr>
            <w:t>4</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"_Toc138253189" </w:instrText>
          </w:r>
          <w:r>
            <w:fldChar w:fldCharType="separate"/>
          </w:r>
          <w:r>
            <w:rPr>
              <w:rStyle w:val="16"/>
              <w:rFonts w:ascii="仿宋" w:hAnsi="仿宋" w:eastAsia="仿宋"/>
              <w:b/>
              <w:bCs/>
              <w:sz w:val="30"/>
              <w:szCs w:val="30"/>
            </w:rPr>
            <w:t>（一）评价对象及范围</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_Toc138253189 \h </w:instrText>
          </w:r>
          <w:r>
            <w:rPr>
              <w:rFonts w:ascii="仿宋" w:hAnsi="仿宋" w:eastAsia="仿宋"/>
              <w:b/>
              <w:bCs/>
              <w:sz w:val="30"/>
              <w:szCs w:val="30"/>
            </w:rPr>
            <w:fldChar w:fldCharType="separate"/>
          </w:r>
          <w:r>
            <w:rPr>
              <w:rFonts w:ascii="仿宋" w:hAnsi="仿宋" w:eastAsia="仿宋"/>
              <w:b/>
              <w:bCs/>
              <w:sz w:val="30"/>
              <w:szCs w:val="30"/>
            </w:rPr>
            <w:t>4</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"_Toc138253190" </w:instrText>
          </w:r>
          <w:r>
            <w:fldChar w:fldCharType="separate"/>
          </w:r>
          <w:r>
            <w:rPr>
              <w:rStyle w:val="16"/>
              <w:rFonts w:ascii="仿宋" w:hAnsi="仿宋" w:eastAsia="仿宋"/>
              <w:b/>
              <w:bCs/>
              <w:sz w:val="30"/>
              <w:szCs w:val="30"/>
            </w:rPr>
            <w:t>（二）评价结论</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_Toc138253190 \h </w:instrText>
          </w:r>
          <w:r>
            <w:rPr>
              <w:rFonts w:ascii="仿宋" w:hAnsi="仿宋" w:eastAsia="仿宋"/>
              <w:b/>
              <w:bCs/>
              <w:sz w:val="30"/>
              <w:szCs w:val="30"/>
            </w:rPr>
            <w:fldChar w:fldCharType="separate"/>
          </w:r>
          <w:r>
            <w:rPr>
              <w:rFonts w:ascii="仿宋" w:hAnsi="仿宋" w:eastAsia="仿宋"/>
              <w:b/>
              <w:bCs/>
              <w:sz w:val="30"/>
              <w:szCs w:val="30"/>
            </w:rPr>
            <w:t>4</w:t>
          </w:r>
          <w:r>
            <w:rPr>
              <w:rFonts w:ascii="仿宋" w:hAnsi="仿宋" w:eastAsia="仿宋"/>
              <w:b/>
              <w:bCs/>
              <w:sz w:val="30"/>
              <w:szCs w:val="30"/>
            </w:rPr>
            <w:fldChar w:fldCharType="end"/>
          </w:r>
          <w:r>
            <w:rPr>
              <w:rFonts w:ascii="仿宋" w:hAnsi="仿宋" w:eastAsia="仿宋"/>
              <w:b/>
              <w:bCs/>
              <w:sz w:val="30"/>
              <w:szCs w:val="30"/>
            </w:rPr>
            <w:fldChar w:fldCharType="end"/>
          </w:r>
        </w:p>
        <w:p>
          <w:pPr>
            <w:pStyle w:val="11"/>
            <w:tabs>
              <w:tab w:val="right" w:leader="dot" w:pos="8580"/>
            </w:tabs>
            <w:spacing w:line="360" w:lineRule="auto"/>
            <w:rPr>
              <w:rFonts w:ascii="仿宋" w:hAnsi="仿宋" w:eastAsia="仿宋" w:cstheme="minorBidi"/>
              <w:b/>
              <w:bCs/>
              <w:color w:val="auto"/>
              <w:kern w:val="2"/>
              <w:sz w:val="30"/>
              <w:szCs w:val="30"/>
              <w:lang w:eastAsia="zh-CN" w:bidi="ar-SA"/>
              <w14:ligatures w14:val="standardContextual"/>
            </w:rPr>
          </w:pPr>
          <w:r>
            <w:fldChar w:fldCharType="begin"/>
          </w:r>
          <w:r>
            <w:instrText xml:space="preserve"> HYPERLINK \l "_Toc138253191" </w:instrText>
          </w:r>
          <w:r>
            <w:fldChar w:fldCharType="separate"/>
          </w:r>
          <w:r>
            <w:rPr>
              <w:rStyle w:val="16"/>
              <w:rFonts w:ascii="仿宋" w:hAnsi="仿宋" w:eastAsia="仿宋"/>
              <w:b/>
              <w:bCs/>
              <w:sz w:val="30"/>
              <w:szCs w:val="30"/>
              <w:lang w:bidi="zh-CN"/>
            </w:rPr>
            <w:t>三、部门履职成效</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_Toc138253191 \h </w:instrText>
          </w:r>
          <w:r>
            <w:rPr>
              <w:rFonts w:ascii="仿宋" w:hAnsi="仿宋" w:eastAsia="仿宋"/>
              <w:b/>
              <w:bCs/>
              <w:sz w:val="30"/>
              <w:szCs w:val="30"/>
            </w:rPr>
            <w:fldChar w:fldCharType="separate"/>
          </w:r>
          <w:r>
            <w:rPr>
              <w:rFonts w:ascii="仿宋" w:hAnsi="仿宋" w:eastAsia="仿宋"/>
              <w:b/>
              <w:bCs/>
              <w:sz w:val="30"/>
              <w:szCs w:val="30"/>
            </w:rPr>
            <w:t>5</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"_Toc138253192" </w:instrText>
          </w:r>
          <w:r>
            <w:fldChar w:fldCharType="separate"/>
          </w:r>
          <w:r>
            <w:rPr>
              <w:rStyle w:val="16"/>
              <w:rFonts w:ascii="仿宋" w:hAnsi="仿宋" w:eastAsia="仿宋"/>
              <w:b/>
              <w:bCs/>
              <w:sz w:val="30"/>
              <w:szCs w:val="30"/>
            </w:rPr>
            <w:t>（一）建立健全政务数据，促进数据有效共享</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_Toc138253192 \h </w:instrText>
          </w:r>
          <w:r>
            <w:rPr>
              <w:rFonts w:ascii="仿宋" w:hAnsi="仿宋" w:eastAsia="仿宋"/>
              <w:b/>
              <w:bCs/>
              <w:sz w:val="30"/>
              <w:szCs w:val="30"/>
            </w:rPr>
            <w:fldChar w:fldCharType="separate"/>
          </w:r>
          <w:r>
            <w:rPr>
              <w:rFonts w:ascii="仿宋" w:hAnsi="仿宋" w:eastAsia="仿宋"/>
              <w:b/>
              <w:bCs/>
              <w:sz w:val="30"/>
              <w:szCs w:val="30"/>
            </w:rPr>
            <w:t>5</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"_Toc138253193" </w:instrText>
          </w:r>
          <w:r>
            <w:fldChar w:fldCharType="separate"/>
          </w:r>
          <w:r>
            <w:rPr>
              <w:rStyle w:val="16"/>
              <w:rFonts w:ascii="仿宋" w:hAnsi="仿宋" w:eastAsia="仿宋"/>
              <w:b/>
              <w:bCs/>
              <w:sz w:val="30"/>
              <w:szCs w:val="30"/>
            </w:rPr>
            <w:t>（二）推进政务数据标准规范体系建设，提升数据安全水平，加强项目内部审计监督管理</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_Toc138253193 \h </w:instrText>
          </w:r>
          <w:r>
            <w:rPr>
              <w:rFonts w:ascii="仿宋" w:hAnsi="仿宋" w:eastAsia="仿宋"/>
              <w:b/>
              <w:bCs/>
              <w:sz w:val="30"/>
              <w:szCs w:val="30"/>
            </w:rPr>
            <w:fldChar w:fldCharType="separate"/>
          </w:r>
          <w:r>
            <w:rPr>
              <w:rFonts w:ascii="仿宋" w:hAnsi="仿宋" w:eastAsia="仿宋"/>
              <w:b/>
              <w:bCs/>
              <w:sz w:val="30"/>
              <w:szCs w:val="30"/>
            </w:rPr>
            <w:t>6</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"_Toc138253194" </w:instrText>
          </w:r>
          <w:r>
            <w:fldChar w:fldCharType="separate"/>
          </w:r>
          <w:r>
            <w:rPr>
              <w:rStyle w:val="16"/>
              <w:rFonts w:ascii="仿宋" w:hAnsi="仿宋" w:eastAsia="仿宋"/>
              <w:b/>
              <w:bCs/>
              <w:sz w:val="30"/>
              <w:szCs w:val="30"/>
            </w:rPr>
            <w:t>（三）新闻媒体宣传推广</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_Toc138253194 \h </w:instrText>
          </w:r>
          <w:r>
            <w:rPr>
              <w:rFonts w:ascii="仿宋" w:hAnsi="仿宋" w:eastAsia="仿宋"/>
              <w:b/>
              <w:bCs/>
              <w:sz w:val="30"/>
              <w:szCs w:val="30"/>
            </w:rPr>
            <w:fldChar w:fldCharType="separate"/>
          </w:r>
          <w:r>
            <w:rPr>
              <w:rFonts w:ascii="仿宋" w:hAnsi="仿宋" w:eastAsia="仿宋"/>
              <w:b/>
              <w:bCs/>
              <w:sz w:val="30"/>
              <w:szCs w:val="30"/>
            </w:rPr>
            <w:t>7</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"_Toc138253195" </w:instrText>
          </w:r>
          <w:r>
            <w:fldChar w:fldCharType="separate"/>
          </w:r>
          <w:r>
            <w:rPr>
              <w:rStyle w:val="16"/>
              <w:rFonts w:ascii="仿宋" w:hAnsi="仿宋" w:eastAsia="仿宋"/>
              <w:b/>
              <w:bCs/>
              <w:sz w:val="30"/>
              <w:szCs w:val="30"/>
            </w:rPr>
            <w:t>（四）推进政务软件整合、全市政府网站、“我的南京”等城市智能门户的规划建设、监督管理</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_Toc138253195 \h </w:instrText>
          </w:r>
          <w:r>
            <w:rPr>
              <w:rFonts w:ascii="仿宋" w:hAnsi="仿宋" w:eastAsia="仿宋"/>
              <w:b/>
              <w:bCs/>
              <w:sz w:val="30"/>
              <w:szCs w:val="30"/>
            </w:rPr>
            <w:fldChar w:fldCharType="separate"/>
          </w:r>
          <w:r>
            <w:rPr>
              <w:rFonts w:ascii="仿宋" w:hAnsi="仿宋" w:eastAsia="仿宋"/>
              <w:b/>
              <w:bCs/>
              <w:sz w:val="30"/>
              <w:szCs w:val="30"/>
            </w:rPr>
            <w:t>7</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"_Toc138253196" </w:instrText>
          </w:r>
          <w:r>
            <w:fldChar w:fldCharType="separate"/>
          </w:r>
          <w:r>
            <w:rPr>
              <w:rStyle w:val="16"/>
              <w:rFonts w:ascii="仿宋" w:hAnsi="仿宋" w:eastAsia="仿宋"/>
              <w:b/>
              <w:bCs/>
              <w:sz w:val="30"/>
              <w:szCs w:val="30"/>
            </w:rPr>
            <w:t>（五）推进“一网统管”与城市数字化治理，加强项目审批</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_Toc138253196 \h </w:instrText>
          </w:r>
          <w:r>
            <w:rPr>
              <w:rFonts w:ascii="仿宋" w:hAnsi="仿宋" w:eastAsia="仿宋"/>
              <w:b/>
              <w:bCs/>
              <w:sz w:val="30"/>
              <w:szCs w:val="30"/>
            </w:rPr>
            <w:fldChar w:fldCharType="separate"/>
          </w:r>
          <w:r>
            <w:rPr>
              <w:rFonts w:ascii="仿宋" w:hAnsi="仿宋" w:eastAsia="仿宋"/>
              <w:b/>
              <w:bCs/>
              <w:sz w:val="30"/>
              <w:szCs w:val="30"/>
            </w:rPr>
            <w:t>9</w:t>
          </w:r>
          <w:r>
            <w:rPr>
              <w:rFonts w:ascii="仿宋" w:hAnsi="仿宋" w:eastAsia="仿宋"/>
              <w:b/>
              <w:bCs/>
              <w:sz w:val="30"/>
              <w:szCs w:val="30"/>
            </w:rPr>
            <w:fldChar w:fldCharType="end"/>
          </w:r>
          <w:r>
            <w:rPr>
              <w:rFonts w:ascii="仿宋" w:hAnsi="仿宋" w:eastAsia="仿宋"/>
              <w:b/>
              <w:bCs/>
              <w:sz w:val="30"/>
              <w:szCs w:val="30"/>
            </w:rPr>
            <w:fldChar w:fldCharType="end"/>
          </w:r>
        </w:p>
        <w:p>
          <w:pPr>
            <w:pStyle w:val="11"/>
            <w:tabs>
              <w:tab w:val="right" w:leader="dot" w:pos="8580"/>
            </w:tabs>
            <w:spacing w:line="360" w:lineRule="auto"/>
            <w:rPr>
              <w:rFonts w:ascii="仿宋" w:hAnsi="仿宋" w:eastAsia="仿宋" w:cstheme="minorBidi"/>
              <w:b/>
              <w:bCs/>
              <w:color w:val="auto"/>
              <w:kern w:val="2"/>
              <w:sz w:val="30"/>
              <w:szCs w:val="30"/>
              <w:lang w:eastAsia="zh-CN" w:bidi="ar-SA"/>
              <w14:ligatures w14:val="standardContextual"/>
            </w:rPr>
          </w:pPr>
          <w:r>
            <w:fldChar w:fldCharType="begin"/>
          </w:r>
          <w:r>
            <w:instrText xml:space="preserve"> HYPERLINK \l "_Toc138253197" </w:instrText>
          </w:r>
          <w:r>
            <w:fldChar w:fldCharType="separate"/>
          </w:r>
          <w:r>
            <w:rPr>
              <w:rStyle w:val="16"/>
              <w:rFonts w:ascii="仿宋" w:hAnsi="仿宋" w:eastAsia="仿宋"/>
              <w:b/>
              <w:bCs/>
              <w:sz w:val="30"/>
              <w:szCs w:val="30"/>
              <w:lang w:bidi="zh-CN"/>
            </w:rPr>
            <w:t>四、存在问题及原因分析</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_Toc138253197 \h </w:instrText>
          </w:r>
          <w:r>
            <w:rPr>
              <w:rFonts w:ascii="仿宋" w:hAnsi="仿宋" w:eastAsia="仿宋"/>
              <w:b/>
              <w:bCs/>
              <w:sz w:val="30"/>
              <w:szCs w:val="30"/>
            </w:rPr>
            <w:fldChar w:fldCharType="separate"/>
          </w:r>
          <w:r>
            <w:rPr>
              <w:rFonts w:ascii="仿宋" w:hAnsi="仿宋" w:eastAsia="仿宋"/>
              <w:b/>
              <w:bCs/>
              <w:sz w:val="30"/>
              <w:szCs w:val="30"/>
            </w:rPr>
            <w:t>10</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"_Toc138253198" </w:instrText>
          </w:r>
          <w:r>
            <w:fldChar w:fldCharType="separate"/>
          </w:r>
          <w:r>
            <w:rPr>
              <w:rStyle w:val="16"/>
              <w:rFonts w:ascii="仿宋" w:hAnsi="仿宋" w:eastAsia="仿宋"/>
              <w:b/>
              <w:bCs/>
              <w:sz w:val="30"/>
              <w:szCs w:val="30"/>
            </w:rPr>
            <w:t>(一）部门中长期目标和年度工作目标的明确性仍需提高</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_Toc138253198 \h </w:instrText>
          </w:r>
          <w:r>
            <w:rPr>
              <w:rFonts w:ascii="仿宋" w:hAnsi="仿宋" w:eastAsia="仿宋"/>
              <w:b/>
              <w:bCs/>
              <w:sz w:val="30"/>
              <w:szCs w:val="30"/>
            </w:rPr>
            <w:fldChar w:fldCharType="separate"/>
          </w:r>
          <w:r>
            <w:rPr>
              <w:rFonts w:ascii="仿宋" w:hAnsi="仿宋" w:eastAsia="仿宋"/>
              <w:b/>
              <w:bCs/>
              <w:sz w:val="30"/>
              <w:szCs w:val="30"/>
            </w:rPr>
            <w:t>10</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"_Toc138253199" </w:instrText>
          </w:r>
          <w:r>
            <w:fldChar w:fldCharType="separate"/>
          </w:r>
          <w:r>
            <w:rPr>
              <w:rStyle w:val="16"/>
              <w:rFonts w:ascii="仿宋" w:hAnsi="仿宋" w:eastAsia="仿宋"/>
              <w:b/>
              <w:bCs/>
              <w:sz w:val="30"/>
              <w:szCs w:val="30"/>
            </w:rPr>
            <w:t>（二）部分项目的经费预算执行率低</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_Toc138253199 \h </w:instrText>
          </w:r>
          <w:r>
            <w:rPr>
              <w:rFonts w:ascii="仿宋" w:hAnsi="仿宋" w:eastAsia="仿宋"/>
              <w:b/>
              <w:bCs/>
              <w:sz w:val="30"/>
              <w:szCs w:val="30"/>
            </w:rPr>
            <w:fldChar w:fldCharType="separate"/>
          </w:r>
          <w:r>
            <w:rPr>
              <w:rFonts w:ascii="仿宋" w:hAnsi="仿宋" w:eastAsia="仿宋"/>
              <w:b/>
              <w:bCs/>
              <w:sz w:val="30"/>
              <w:szCs w:val="30"/>
            </w:rPr>
            <w:t>10</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"_Toc138253200" </w:instrText>
          </w:r>
          <w:r>
            <w:fldChar w:fldCharType="separate"/>
          </w:r>
          <w:r>
            <w:rPr>
              <w:rStyle w:val="16"/>
              <w:rFonts w:ascii="仿宋" w:hAnsi="仿宋" w:eastAsia="仿宋"/>
              <w:b/>
              <w:bCs/>
              <w:sz w:val="30"/>
              <w:szCs w:val="30"/>
            </w:rPr>
            <w:t>（三）绩效目标的全面性、明确性、可衡量性等有待提高</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_Toc138253200 \h </w:instrText>
          </w:r>
          <w:r>
            <w:rPr>
              <w:rFonts w:ascii="仿宋" w:hAnsi="仿宋" w:eastAsia="仿宋"/>
              <w:b/>
              <w:bCs/>
              <w:sz w:val="30"/>
              <w:szCs w:val="30"/>
            </w:rPr>
            <w:fldChar w:fldCharType="separate"/>
          </w:r>
          <w:r>
            <w:rPr>
              <w:rFonts w:ascii="仿宋" w:hAnsi="仿宋" w:eastAsia="仿宋"/>
              <w:b/>
              <w:bCs/>
              <w:sz w:val="30"/>
              <w:szCs w:val="30"/>
            </w:rPr>
            <w:t>11</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"_Toc138253201" </w:instrText>
          </w:r>
          <w:r>
            <w:fldChar w:fldCharType="separate"/>
          </w:r>
          <w:r>
            <w:rPr>
              <w:rStyle w:val="16"/>
              <w:rFonts w:ascii="仿宋" w:hAnsi="仿宋" w:eastAsia="仿宋"/>
              <w:b/>
              <w:bCs/>
              <w:sz w:val="30"/>
              <w:szCs w:val="30"/>
            </w:rPr>
            <w:t>（四）部分项目绩效成果资料的留存及收集工作还有待加强</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_Toc138253201 \h </w:instrText>
          </w:r>
          <w:r>
            <w:rPr>
              <w:rFonts w:ascii="仿宋" w:hAnsi="仿宋" w:eastAsia="仿宋"/>
              <w:b/>
              <w:bCs/>
              <w:sz w:val="30"/>
              <w:szCs w:val="30"/>
            </w:rPr>
            <w:fldChar w:fldCharType="separate"/>
          </w:r>
          <w:r>
            <w:rPr>
              <w:rFonts w:ascii="仿宋" w:hAnsi="仿宋" w:eastAsia="仿宋"/>
              <w:b/>
              <w:bCs/>
              <w:sz w:val="30"/>
              <w:szCs w:val="30"/>
            </w:rPr>
            <w:t>11</w:t>
          </w:r>
          <w:r>
            <w:rPr>
              <w:rFonts w:ascii="仿宋" w:hAnsi="仿宋" w:eastAsia="仿宋"/>
              <w:b/>
              <w:bCs/>
              <w:sz w:val="30"/>
              <w:szCs w:val="30"/>
            </w:rPr>
            <w:fldChar w:fldCharType="end"/>
          </w:r>
          <w:r>
            <w:rPr>
              <w:rFonts w:ascii="仿宋" w:hAnsi="仿宋" w:eastAsia="仿宋"/>
              <w:b/>
              <w:bCs/>
              <w:sz w:val="30"/>
              <w:szCs w:val="30"/>
            </w:rPr>
            <w:fldChar w:fldCharType="end"/>
          </w:r>
        </w:p>
        <w:p>
          <w:pPr>
            <w:pStyle w:val="11"/>
            <w:tabs>
              <w:tab w:val="right" w:leader="dot" w:pos="8580"/>
            </w:tabs>
            <w:spacing w:line="360" w:lineRule="auto"/>
            <w:rPr>
              <w:rFonts w:ascii="仿宋" w:hAnsi="仿宋" w:eastAsia="仿宋" w:cstheme="minorBidi"/>
              <w:b/>
              <w:bCs/>
              <w:color w:val="auto"/>
              <w:kern w:val="2"/>
              <w:sz w:val="30"/>
              <w:szCs w:val="30"/>
              <w:lang w:eastAsia="zh-CN" w:bidi="ar-SA"/>
              <w14:ligatures w14:val="standardContextual"/>
            </w:rPr>
          </w:pPr>
          <w:r>
            <w:fldChar w:fldCharType="begin"/>
          </w:r>
          <w:r>
            <w:instrText xml:space="preserve"> HYPERLINK \l "_Toc138253202" </w:instrText>
          </w:r>
          <w:r>
            <w:fldChar w:fldCharType="separate"/>
          </w:r>
          <w:r>
            <w:rPr>
              <w:rStyle w:val="16"/>
              <w:rFonts w:ascii="仿宋" w:hAnsi="仿宋" w:eastAsia="仿宋"/>
              <w:b/>
              <w:bCs/>
              <w:sz w:val="30"/>
              <w:szCs w:val="30"/>
              <w:lang w:bidi="zh-CN"/>
            </w:rPr>
            <w:t>五、有关建议</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_Toc138253202 \h </w:instrText>
          </w:r>
          <w:r>
            <w:rPr>
              <w:rFonts w:ascii="仿宋" w:hAnsi="仿宋" w:eastAsia="仿宋"/>
              <w:b/>
              <w:bCs/>
              <w:sz w:val="30"/>
              <w:szCs w:val="30"/>
            </w:rPr>
            <w:fldChar w:fldCharType="separate"/>
          </w:r>
          <w:r>
            <w:rPr>
              <w:rFonts w:ascii="仿宋" w:hAnsi="仿宋" w:eastAsia="仿宋"/>
              <w:b/>
              <w:bCs/>
              <w:sz w:val="30"/>
              <w:szCs w:val="30"/>
            </w:rPr>
            <w:t>12</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"_Toc138253203" </w:instrText>
          </w:r>
          <w:r>
            <w:fldChar w:fldCharType="separate"/>
          </w:r>
          <w:r>
            <w:rPr>
              <w:rStyle w:val="16"/>
              <w:rFonts w:ascii="仿宋" w:hAnsi="仿宋" w:eastAsia="仿宋"/>
              <w:b/>
              <w:bCs/>
              <w:sz w:val="30"/>
              <w:szCs w:val="30"/>
            </w:rPr>
            <w:t>（一）优化绩效目标的设置，发挥绩效目标考核的意义</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_Toc138253203 \h </w:instrText>
          </w:r>
          <w:r>
            <w:rPr>
              <w:rFonts w:ascii="仿宋" w:hAnsi="仿宋" w:eastAsia="仿宋"/>
              <w:b/>
              <w:bCs/>
              <w:sz w:val="30"/>
              <w:szCs w:val="30"/>
            </w:rPr>
            <w:fldChar w:fldCharType="separate"/>
          </w:r>
          <w:r>
            <w:rPr>
              <w:rFonts w:ascii="仿宋" w:hAnsi="仿宋" w:eastAsia="仿宋"/>
              <w:b/>
              <w:bCs/>
              <w:sz w:val="30"/>
              <w:szCs w:val="30"/>
            </w:rPr>
            <w:t>12</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"_Toc138253204" </w:instrText>
          </w:r>
          <w:r>
            <w:fldChar w:fldCharType="separate"/>
          </w:r>
          <w:r>
            <w:rPr>
              <w:rStyle w:val="16"/>
              <w:rFonts w:ascii="仿宋" w:hAnsi="仿宋" w:eastAsia="仿宋"/>
              <w:b/>
              <w:bCs/>
              <w:sz w:val="30"/>
              <w:szCs w:val="30"/>
            </w:rPr>
            <w:t>（二）提高预算编制能力，充分考虑变动因素，加强预算绩效目标值设定的合理性</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_Toc138253204 \h </w:instrText>
          </w:r>
          <w:r>
            <w:rPr>
              <w:rFonts w:ascii="仿宋" w:hAnsi="仿宋" w:eastAsia="仿宋"/>
              <w:b/>
              <w:bCs/>
              <w:sz w:val="30"/>
              <w:szCs w:val="30"/>
            </w:rPr>
            <w:fldChar w:fldCharType="separate"/>
          </w:r>
          <w:r>
            <w:rPr>
              <w:rFonts w:ascii="仿宋" w:hAnsi="仿宋" w:eastAsia="仿宋"/>
              <w:b/>
              <w:bCs/>
              <w:sz w:val="30"/>
              <w:szCs w:val="30"/>
            </w:rPr>
            <w:t>12</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"_Toc138253205" </w:instrText>
          </w:r>
          <w:r>
            <w:fldChar w:fldCharType="separate"/>
          </w:r>
          <w:r>
            <w:rPr>
              <w:rStyle w:val="16"/>
              <w:rFonts w:ascii="仿宋" w:hAnsi="仿宋" w:eastAsia="仿宋"/>
              <w:b/>
              <w:bCs/>
              <w:sz w:val="30"/>
              <w:szCs w:val="30"/>
            </w:rPr>
            <w:t>（三）重视项目绩效资料的留存与收集</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_Toc138253205 \h </w:instrText>
          </w:r>
          <w:r>
            <w:rPr>
              <w:rFonts w:ascii="仿宋" w:hAnsi="仿宋" w:eastAsia="仿宋"/>
              <w:b/>
              <w:bCs/>
              <w:sz w:val="30"/>
              <w:szCs w:val="30"/>
            </w:rPr>
            <w:fldChar w:fldCharType="separate"/>
          </w:r>
          <w:r>
            <w:rPr>
              <w:rFonts w:ascii="仿宋" w:hAnsi="仿宋" w:eastAsia="仿宋"/>
              <w:b/>
              <w:bCs/>
              <w:sz w:val="30"/>
              <w:szCs w:val="30"/>
            </w:rPr>
            <w:t>13</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"_Toc138253206" </w:instrText>
          </w:r>
          <w:r>
            <w:fldChar w:fldCharType="separate"/>
          </w:r>
          <w:r>
            <w:rPr>
              <w:rStyle w:val="16"/>
              <w:rFonts w:ascii="仿宋" w:hAnsi="仿宋" w:eastAsia="仿宋"/>
              <w:b/>
              <w:bCs/>
              <w:sz w:val="30"/>
              <w:szCs w:val="30"/>
            </w:rPr>
            <w:t>（四）完善绩效评价相关制度，加强宣传学习</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_Toc138253206 \h </w:instrText>
          </w:r>
          <w:r>
            <w:rPr>
              <w:rFonts w:ascii="仿宋" w:hAnsi="仿宋" w:eastAsia="仿宋"/>
              <w:b/>
              <w:bCs/>
              <w:sz w:val="30"/>
              <w:szCs w:val="30"/>
            </w:rPr>
            <w:fldChar w:fldCharType="separate"/>
          </w:r>
          <w:r>
            <w:rPr>
              <w:rFonts w:ascii="仿宋" w:hAnsi="仿宋" w:eastAsia="仿宋"/>
              <w:b/>
              <w:bCs/>
              <w:sz w:val="30"/>
              <w:szCs w:val="30"/>
            </w:rPr>
            <w:t>13</w:t>
          </w:r>
          <w:r>
            <w:rPr>
              <w:rFonts w:ascii="仿宋" w:hAnsi="仿宋" w:eastAsia="仿宋"/>
              <w:b/>
              <w:bCs/>
              <w:sz w:val="30"/>
              <w:szCs w:val="30"/>
            </w:rPr>
            <w:fldChar w:fldCharType="end"/>
          </w:r>
          <w:r>
            <w:rPr>
              <w:rFonts w:ascii="仿宋" w:hAnsi="仿宋" w:eastAsia="仿宋"/>
              <w:b/>
              <w:bCs/>
              <w:sz w:val="30"/>
              <w:szCs w:val="30"/>
            </w:rPr>
            <w:fldChar w:fldCharType="end"/>
          </w:r>
        </w:p>
        <w:p>
          <w:pPr>
            <w:pStyle w:val="11"/>
            <w:tabs>
              <w:tab w:val="right" w:leader="dot" w:pos="8580"/>
            </w:tabs>
            <w:spacing w:line="360" w:lineRule="auto"/>
            <w:rPr>
              <w:rFonts w:ascii="仿宋" w:hAnsi="仿宋" w:eastAsia="仿宋" w:cstheme="minorBidi"/>
              <w:b/>
              <w:bCs/>
              <w:color w:val="auto"/>
              <w:kern w:val="2"/>
              <w:sz w:val="30"/>
              <w:szCs w:val="30"/>
              <w:lang w:eastAsia="zh-CN" w:bidi="ar-SA"/>
              <w14:ligatures w14:val="standardContextual"/>
            </w:rPr>
          </w:pPr>
          <w:r>
            <w:fldChar w:fldCharType="begin"/>
          </w:r>
          <w:r>
            <w:instrText xml:space="preserve"> HYPERLINK \l "_Toc138253207" </w:instrText>
          </w:r>
          <w:r>
            <w:fldChar w:fldCharType="separate"/>
          </w:r>
          <w:r>
            <w:rPr>
              <w:rStyle w:val="16"/>
              <w:rFonts w:ascii="仿宋" w:hAnsi="仿宋" w:eastAsia="仿宋"/>
              <w:b/>
              <w:bCs/>
              <w:sz w:val="30"/>
              <w:szCs w:val="30"/>
              <w:lang w:bidi="zh-CN"/>
            </w:rPr>
            <w:t>六、评价工作开展情况</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_Toc138253207 \h </w:instrText>
          </w:r>
          <w:r>
            <w:rPr>
              <w:rFonts w:ascii="仿宋" w:hAnsi="仿宋" w:eastAsia="仿宋"/>
              <w:b/>
              <w:bCs/>
              <w:sz w:val="30"/>
              <w:szCs w:val="30"/>
            </w:rPr>
            <w:fldChar w:fldCharType="separate"/>
          </w:r>
          <w:r>
            <w:rPr>
              <w:rFonts w:ascii="仿宋" w:hAnsi="仿宋" w:eastAsia="仿宋"/>
              <w:b/>
              <w:bCs/>
              <w:sz w:val="30"/>
              <w:szCs w:val="30"/>
            </w:rPr>
            <w:t>14</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b/>
              <w:bCs/>
              <w:color w:val="auto"/>
              <w:kern w:val="2"/>
              <w:sz w:val="30"/>
              <w:szCs w:val="30"/>
              <w:lang w:val="en-US" w:eastAsia="zh-CN" w:bidi="ar-SA"/>
              <w14:ligatures w14:val="standardContextual"/>
            </w:rPr>
          </w:pPr>
          <w:r>
            <w:fldChar w:fldCharType="begin"/>
          </w:r>
          <w:r>
            <w:instrText xml:space="preserve"> HYPERLINK \l "_Toc138253208" </w:instrText>
          </w:r>
          <w:r>
            <w:fldChar w:fldCharType="separate"/>
          </w:r>
          <w:r>
            <w:rPr>
              <w:rStyle w:val="16"/>
              <w:rFonts w:ascii="仿宋" w:hAnsi="仿宋" w:eastAsia="仿宋"/>
              <w:b/>
              <w:bCs/>
              <w:sz w:val="30"/>
              <w:szCs w:val="30"/>
            </w:rPr>
            <w:t>（一）基本情况</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_Toc138253208 \h </w:instrText>
          </w:r>
          <w:r>
            <w:rPr>
              <w:rFonts w:ascii="仿宋" w:hAnsi="仿宋" w:eastAsia="仿宋"/>
              <w:b/>
              <w:bCs/>
              <w:sz w:val="30"/>
              <w:szCs w:val="30"/>
            </w:rPr>
            <w:fldChar w:fldCharType="separate"/>
          </w:r>
          <w:r>
            <w:rPr>
              <w:rFonts w:ascii="仿宋" w:hAnsi="仿宋" w:eastAsia="仿宋"/>
              <w:b/>
              <w:bCs/>
              <w:sz w:val="30"/>
              <w:szCs w:val="30"/>
            </w:rPr>
            <w:t>14</w:t>
          </w:r>
          <w:r>
            <w:rPr>
              <w:rFonts w:ascii="仿宋" w:hAnsi="仿宋" w:eastAsia="仿宋"/>
              <w:b/>
              <w:bCs/>
              <w:sz w:val="30"/>
              <w:szCs w:val="30"/>
            </w:rPr>
            <w:fldChar w:fldCharType="end"/>
          </w:r>
          <w:r>
            <w:rPr>
              <w:rFonts w:ascii="仿宋" w:hAnsi="仿宋" w:eastAsia="仿宋"/>
              <w:b/>
              <w:bCs/>
              <w:sz w:val="30"/>
              <w:szCs w:val="30"/>
            </w:rPr>
            <w:fldChar w:fldCharType="end"/>
          </w:r>
        </w:p>
        <w:p>
          <w:pPr>
            <w:pStyle w:val="12"/>
            <w:tabs>
              <w:tab w:val="right" w:leader="dot" w:pos="8580"/>
            </w:tabs>
            <w:spacing w:line="360" w:lineRule="auto"/>
            <w:rPr>
              <w:rFonts w:ascii="仿宋" w:hAnsi="仿宋" w:eastAsia="仿宋" w:cstheme="minorBidi"/>
              <w:color w:val="auto"/>
              <w:kern w:val="2"/>
              <w:sz w:val="30"/>
              <w:szCs w:val="30"/>
              <w:lang w:val="en-US" w:eastAsia="zh-CN" w:bidi="ar-SA"/>
              <w14:ligatures w14:val="standardContextual"/>
            </w:rPr>
          </w:pPr>
          <w:r>
            <w:fldChar w:fldCharType="begin"/>
          </w:r>
          <w:r>
            <w:instrText xml:space="preserve"> HYPERLINK \l "_Toc138253209" </w:instrText>
          </w:r>
          <w:r>
            <w:fldChar w:fldCharType="separate"/>
          </w:r>
          <w:r>
            <w:rPr>
              <w:rStyle w:val="16"/>
              <w:rFonts w:ascii="仿宋" w:hAnsi="仿宋" w:eastAsia="仿宋"/>
              <w:b/>
              <w:bCs/>
              <w:sz w:val="30"/>
              <w:szCs w:val="30"/>
            </w:rPr>
            <w:t>（二）评价组织实施</w:t>
          </w:r>
          <w:r>
            <w:rPr>
              <w:rFonts w:ascii="仿宋" w:hAnsi="仿宋" w:eastAsia="仿宋"/>
              <w:b/>
              <w:bCs/>
              <w:sz w:val="30"/>
              <w:szCs w:val="30"/>
            </w:rPr>
            <w:tab/>
          </w:r>
          <w:r>
            <w:rPr>
              <w:rFonts w:ascii="仿宋" w:hAnsi="仿宋" w:eastAsia="仿宋"/>
              <w:b/>
              <w:bCs/>
              <w:sz w:val="30"/>
              <w:szCs w:val="30"/>
            </w:rPr>
            <w:fldChar w:fldCharType="begin"/>
          </w:r>
          <w:r>
            <w:rPr>
              <w:rFonts w:ascii="仿宋" w:hAnsi="仿宋" w:eastAsia="仿宋"/>
              <w:b/>
              <w:bCs/>
              <w:sz w:val="30"/>
              <w:szCs w:val="30"/>
            </w:rPr>
            <w:instrText xml:space="preserve"> PAGEREF _Toc138253209 \h </w:instrText>
          </w:r>
          <w:r>
            <w:rPr>
              <w:rFonts w:ascii="仿宋" w:hAnsi="仿宋" w:eastAsia="仿宋"/>
              <w:b/>
              <w:bCs/>
              <w:sz w:val="30"/>
              <w:szCs w:val="30"/>
            </w:rPr>
            <w:fldChar w:fldCharType="separate"/>
          </w:r>
          <w:r>
            <w:rPr>
              <w:rFonts w:ascii="仿宋" w:hAnsi="仿宋" w:eastAsia="仿宋"/>
              <w:b/>
              <w:bCs/>
              <w:sz w:val="30"/>
              <w:szCs w:val="30"/>
            </w:rPr>
            <w:t>14</w:t>
          </w:r>
          <w:r>
            <w:rPr>
              <w:rFonts w:ascii="仿宋" w:hAnsi="仿宋" w:eastAsia="仿宋"/>
              <w:b/>
              <w:bCs/>
              <w:sz w:val="30"/>
              <w:szCs w:val="30"/>
            </w:rPr>
            <w:fldChar w:fldCharType="end"/>
          </w:r>
          <w:r>
            <w:rPr>
              <w:rFonts w:ascii="仿宋" w:hAnsi="仿宋" w:eastAsia="仿宋"/>
              <w:b/>
              <w:bCs/>
              <w:sz w:val="30"/>
              <w:szCs w:val="30"/>
            </w:rPr>
            <w:fldChar w:fldCharType="end"/>
          </w:r>
        </w:p>
        <w:p>
          <w:pPr>
            <w:pStyle w:val="55"/>
            <w:tabs>
              <w:tab w:val="right" w:leader="dot" w:pos="8590"/>
            </w:tabs>
            <w:rPr>
              <w:rFonts w:ascii="仿宋" w:hAnsi="仿宋" w:eastAsia="仿宋" w:cs="仿宋"/>
              <w:b/>
              <w:bCs/>
              <w:color w:val="000000"/>
              <w:lang w:val="zh-CN" w:bidi="zh-CN"/>
            </w:rPr>
            <w:sectPr>
              <w:headerReference r:id="rId6" w:type="default"/>
              <w:footerReference r:id="rId7" w:type="default"/>
              <w:pgSz w:w="11900" w:h="16840"/>
              <w:pgMar w:top="1388" w:right="1595" w:bottom="1781" w:left="1715" w:header="850" w:footer="992" w:gutter="0"/>
              <w:cols w:space="720" w:num="1"/>
              <w:docGrid w:linePitch="360" w:charSpace="0"/>
            </w:sectPr>
          </w:pPr>
          <w:r>
            <w:rPr>
              <w:rFonts w:ascii="仿宋" w:hAnsi="仿宋" w:eastAsia="仿宋"/>
              <w:b/>
              <w:bCs/>
              <w:sz w:val="32"/>
              <w:szCs w:val="32"/>
              <w:lang w:val="zh-CN"/>
            </w:rPr>
            <w:fldChar w:fldCharType="end"/>
          </w:r>
          <w:r>
            <w:fldChar w:fldCharType="begin"/>
          </w:r>
          <w:r>
            <w:instrText xml:space="preserve"> HYPERLINK \l "_Toc27155_WPSOffice_Level1" </w:instrText>
          </w:r>
          <w:r>
            <w:fldChar w:fldCharType="separate"/>
          </w:r>
          <w:r>
            <w:rPr>
              <w:rFonts w:hint="eastAsia" w:ascii="仿宋" w:hAnsi="仿宋" w:eastAsia="仿宋" w:cs="仿宋"/>
              <w:sz w:val="32"/>
              <w:szCs w:val="32"/>
            </w:rPr>
            <w:t>附件：南京市大数据管理局2022年部门整体绩效评价评分表</w:t>
          </w:r>
          <w:r>
            <w:rPr>
              <w:rFonts w:hint="eastAsia" w:ascii="仿宋" w:hAnsi="仿宋" w:eastAsia="仿宋" w:cs="仿宋"/>
              <w:sz w:val="32"/>
              <w:szCs w:val="32"/>
            </w:rPr>
            <w:fldChar w:fldCharType="end"/>
          </w:r>
        </w:p>
      </w:sdtContent>
    </w:sdt>
    <w:bookmarkEnd w:id="0"/>
    <w:p>
      <w:pPr>
        <w:jc w:val="center"/>
        <w:rPr>
          <w:rFonts w:hint="eastAsia" w:ascii="方正小标宋简体" w:hAnsi="FZXBSK--GBK1-0" w:eastAsia="方正小标宋简体" w:cs="宋体"/>
          <w:sz w:val="36"/>
          <w:szCs w:val="36"/>
          <w:lang w:eastAsia="zh-CN" w:bidi="ar-SA"/>
        </w:rPr>
      </w:pPr>
      <w:bookmarkStart w:id="4" w:name="_Toc6147_WPSOffice_Level1"/>
      <w:r>
        <w:rPr>
          <w:rFonts w:hint="eastAsia" w:ascii="方正小标宋简体" w:hAnsi="FZXBSK--GBK1-0" w:eastAsia="方正小标宋简体" w:cs="宋体"/>
          <w:sz w:val="36"/>
          <w:szCs w:val="36"/>
          <w:lang w:eastAsia="zh-CN" w:bidi="ar-SA"/>
        </w:rPr>
        <w:t>2022年度南京市大数据管理局</w:t>
      </w:r>
      <w:bookmarkEnd w:id="4"/>
    </w:p>
    <w:p>
      <w:pPr>
        <w:jc w:val="center"/>
        <w:rPr>
          <w:rFonts w:hint="eastAsia" w:ascii="方正小标宋简体" w:hAnsi="FZXBSK--GBK1-0" w:eastAsia="方正小标宋简体" w:cs="宋体"/>
          <w:sz w:val="36"/>
          <w:szCs w:val="36"/>
          <w:lang w:eastAsia="zh-CN" w:bidi="ar-SA"/>
        </w:rPr>
      </w:pPr>
      <w:bookmarkStart w:id="5" w:name="_Toc25996_WPSOffice_Level1"/>
      <w:r>
        <w:rPr>
          <w:rFonts w:hint="eastAsia" w:ascii="方正小标宋简体" w:hAnsi="FZXBSK--GBK1-0" w:eastAsia="方正小标宋简体" w:cs="宋体"/>
          <w:sz w:val="36"/>
          <w:szCs w:val="36"/>
          <w:lang w:eastAsia="zh-CN" w:bidi="ar-SA"/>
        </w:rPr>
        <w:t>整体</w:t>
      </w:r>
      <w:bookmarkEnd w:id="1"/>
      <w:bookmarkStart w:id="6" w:name="bookmark9"/>
      <w:r>
        <w:rPr>
          <w:rFonts w:hint="eastAsia" w:ascii="方正小标宋简体" w:hAnsi="FZXBSK--GBK1-0" w:eastAsia="方正小标宋简体" w:cs="宋体"/>
          <w:sz w:val="36"/>
          <w:szCs w:val="36"/>
          <w:lang w:eastAsia="zh-CN" w:bidi="ar-SA"/>
        </w:rPr>
        <w:t>绩效自评价报告</w:t>
      </w:r>
      <w:bookmarkEnd w:id="2"/>
      <w:bookmarkEnd w:id="3"/>
      <w:bookmarkEnd w:id="5"/>
      <w:bookmarkEnd w:id="6"/>
    </w:p>
    <w:p>
      <w:pPr>
        <w:pStyle w:val="2"/>
      </w:pPr>
    </w:p>
    <w:p>
      <w:pPr>
        <w:pStyle w:val="2"/>
        <w:spacing w:line="360" w:lineRule="auto"/>
        <w:rPr>
          <w:rFonts w:ascii="黑体" w:hAnsi="黑体" w:eastAsia="黑体"/>
          <w:b w:val="0"/>
          <w:bCs w:val="0"/>
        </w:rPr>
      </w:pPr>
      <w:bookmarkStart w:id="7" w:name="_Toc138253184"/>
      <w:bookmarkStart w:id="8" w:name="_Toc30399_WPSOffice_Level1"/>
      <w:r>
        <w:rPr>
          <w:rFonts w:hint="eastAsia" w:ascii="黑体" w:hAnsi="黑体" w:eastAsia="黑体"/>
          <w:b w:val="0"/>
          <w:bCs w:val="0"/>
        </w:rPr>
        <w:t>一、部门概况</w:t>
      </w:r>
      <w:bookmarkEnd w:id="7"/>
      <w:bookmarkEnd w:id="8"/>
    </w:p>
    <w:p>
      <w:pPr>
        <w:pStyle w:val="3"/>
        <w:spacing w:line="360" w:lineRule="auto"/>
        <w:rPr>
          <w:rFonts w:ascii="仿宋" w:hAnsi="仿宋" w:eastAsia="仿宋"/>
          <w:b/>
          <w:bCs/>
          <w:sz w:val="32"/>
          <w:szCs w:val="32"/>
        </w:rPr>
      </w:pPr>
      <w:bookmarkStart w:id="9" w:name="bookmark35"/>
      <w:bookmarkStart w:id="10" w:name="_Toc138253185"/>
      <w:bookmarkStart w:id="11" w:name="_Toc31597_WPSOffice_Level2"/>
      <w:r>
        <w:rPr>
          <w:rFonts w:hint="eastAsia" w:ascii="仿宋" w:hAnsi="仿宋" w:eastAsia="仿宋"/>
          <w:b/>
          <w:bCs/>
          <w:sz w:val="32"/>
          <w:szCs w:val="32"/>
        </w:rPr>
        <w:t>（</w:t>
      </w:r>
      <w:bookmarkEnd w:id="9"/>
      <w:r>
        <w:rPr>
          <w:rFonts w:hint="eastAsia" w:ascii="仿宋" w:hAnsi="仿宋" w:eastAsia="仿宋"/>
          <w:b/>
          <w:bCs/>
          <w:sz w:val="32"/>
          <w:szCs w:val="32"/>
        </w:rPr>
        <w:t>一）部门基本情况</w:t>
      </w:r>
      <w:bookmarkEnd w:id="10"/>
      <w:bookmarkEnd w:id="11"/>
      <w:bookmarkStart w:id="12" w:name="_Toc4991_WPSOffice_Level3"/>
    </w:p>
    <w:p>
      <w:pPr>
        <w:pStyle w:val="32"/>
        <w:spacing w:line="360" w:lineRule="auto"/>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Hans" w:bidi="ar-SA"/>
        </w:rPr>
        <w:t>.部门背景</w:t>
      </w:r>
      <w:bookmarkEnd w:id="12"/>
    </w:p>
    <w:p>
      <w:pPr>
        <w:pStyle w:val="32"/>
        <w:spacing w:line="360" w:lineRule="auto"/>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2019年南京市政府机构改革，将市政府办公厅、市发展和改革委员会、市经济和信息化委员会承担的大数据开放共享、产业发展、开发应用以及电子政务等管理职责整合，组建</w:t>
      </w:r>
      <w:r>
        <w:rPr>
          <w:rFonts w:hint="eastAsia" w:ascii="仿宋_GB2312" w:eastAsia="仿宋_GB2312" w:cs="Times New Roman"/>
          <w:kern w:val="2"/>
          <w:sz w:val="32"/>
          <w:szCs w:val="32"/>
          <w:lang w:val="en-US" w:eastAsia="zh-Hans" w:bidi="ar-SA"/>
        </w:rPr>
        <w:t>南京</w:t>
      </w:r>
      <w:r>
        <w:rPr>
          <w:rFonts w:hint="eastAsia" w:ascii="仿宋_GB2312" w:eastAsia="仿宋_GB2312" w:cs="Times New Roman"/>
          <w:kern w:val="2"/>
          <w:sz w:val="32"/>
          <w:szCs w:val="32"/>
          <w:lang w:val="en-US" w:eastAsia="zh-CN" w:bidi="ar-SA"/>
        </w:rPr>
        <w:t>市大数据</w:t>
      </w:r>
      <w:r>
        <w:rPr>
          <w:rFonts w:hint="eastAsia" w:ascii="仿宋_GB2312" w:eastAsia="仿宋_GB2312" w:cs="Times New Roman"/>
          <w:kern w:val="2"/>
          <w:sz w:val="32"/>
          <w:szCs w:val="32"/>
          <w:lang w:val="en-US" w:eastAsia="zh-Hans" w:bidi="ar-SA"/>
        </w:rPr>
        <w:t>管理</w:t>
      </w:r>
      <w:r>
        <w:rPr>
          <w:rFonts w:hint="eastAsia" w:ascii="仿宋_GB2312" w:eastAsia="仿宋_GB2312" w:cs="Times New Roman"/>
          <w:kern w:val="2"/>
          <w:sz w:val="32"/>
          <w:szCs w:val="32"/>
          <w:lang w:val="en-US" w:eastAsia="zh-CN" w:bidi="ar-SA"/>
        </w:rPr>
        <w:t>局</w:t>
      </w:r>
      <w:r>
        <w:rPr>
          <w:rFonts w:hint="eastAsia" w:ascii="仿宋_GB2312" w:eastAsia="仿宋_GB2312" w:cs="Times New Roman"/>
          <w:kern w:val="2"/>
          <w:sz w:val="32"/>
          <w:szCs w:val="32"/>
          <w:lang w:val="en-US" w:eastAsia="zh-Hans" w:bidi="ar-SA"/>
        </w:rPr>
        <w:t>（以下简称“市大数据局”）</w:t>
      </w:r>
      <w:r>
        <w:rPr>
          <w:rFonts w:hint="eastAsia" w:ascii="仿宋_GB2312" w:eastAsia="仿宋_GB2312" w:cs="Times New Roman"/>
          <w:kern w:val="2"/>
          <w:sz w:val="32"/>
          <w:szCs w:val="32"/>
          <w:lang w:val="en-US" w:eastAsia="zh-CN" w:bidi="ar-SA"/>
        </w:rPr>
        <w:t>，属市政府工作部门，正局级单位。</w:t>
      </w:r>
    </w:p>
    <w:p>
      <w:pPr>
        <w:pStyle w:val="32"/>
        <w:spacing w:line="590" w:lineRule="exact"/>
        <w:ind w:firstLine="512" w:firstLineChars="160"/>
        <w:rPr>
          <w:rFonts w:ascii="仿宋_GB2312" w:eastAsia="仿宋_GB2312" w:cs="Times New Roman"/>
          <w:kern w:val="2"/>
          <w:sz w:val="32"/>
          <w:szCs w:val="32"/>
          <w:lang w:val="en-US" w:eastAsia="zh-Hans" w:bidi="ar-SA"/>
        </w:rPr>
      </w:pPr>
      <w:bookmarkStart w:id="13" w:name="_Toc11305_WPSOffice_Level3"/>
      <w:r>
        <w:rPr>
          <w:rFonts w:hint="eastAsia" w:ascii="仿宋_GB2312"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Hans" w:bidi="ar-SA"/>
        </w:rPr>
        <w:t>职能定位</w:t>
      </w:r>
      <w:bookmarkEnd w:id="13"/>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根据《南京市大数据管理局职能配置、内设机构和人员编制规定》(宁委办发〔2019〕60号）精神，市大数据管理局负责贯彻落实中央关于大数据管理工作的方针政策和省委、市委决策部署,在履行职责过程中坚持和加强党对大数据管理工作的集中统一领导。市大数据管理局负责全市大数据整合管理、开放应用、产业转化、安全保障及智慧南京建设、电子政务管理等工作。主要职责是:（1）负责统筹全市大数据发展工作，负责智慧南京工程建设相关工作，拟订智慧南京和大数据发展战略、发展规划、年度计划、政策措施和评价体系并组织实施；（2）负责起草全市大数据相关地方性法规、规章草案和规范性文件，负责制定政务数据资源采集、归集、使用、共享、开放以及质量和安全管理等标准规范并监督实施；（3）负责统筹全市政务数据管理工作，指导全市政务数据基础支撑平台和应用服务平台的规划建设、集约利用和绩效评估，组织实施政务数据共享应用工作；（4）指导全市经济社会各领域的数据开发利用工作，推动数据资源在城市治理和公共服务领域的应用。指导全市政务数据开放工作，促进大数据产业和数字经济发展；（5）负责全市政府投资电子政务项目的立项审批、资金管理和绩效评价，负责拟订智慧南京及电子政务专项资金年度计划并组织实施；（6）负责全市政府网站的建设规划、组织保障、健康发展、安全管理、考核评价等工作，主办南京市人民政府网站；（7）指导全市政务数据安全保障体系建设，负责全市政务数据和电子政务安全的组织推进及监督管理工作；（8）负责全市大数据开发应用、智慧城市建设等领域的对外交流合作，以及人才队伍建设等工作；（9）承担城市数字化治理和城市运行“一网统管”等机制的专项推进实施以及市城市运行“一网统管”工作领导小组办公室具体工作；</w:t>
      </w:r>
      <w:bookmarkStart w:id="72" w:name="_GoBack"/>
      <w:bookmarkEnd w:id="72"/>
      <w:r>
        <w:rPr>
          <w:rFonts w:hint="eastAsia" w:ascii="仿宋_GB2312" w:eastAsia="仿宋_GB2312" w:cs="Times New Roman"/>
          <w:kern w:val="2"/>
          <w:sz w:val="32"/>
          <w:szCs w:val="32"/>
          <w:lang w:val="en-US" w:eastAsia="zh-CN" w:bidi="ar-SA"/>
        </w:rPr>
        <w:t>（10）完成市委、市政府交办的其他任务。</w:t>
      </w:r>
    </w:p>
    <w:p>
      <w:pPr>
        <w:pStyle w:val="32"/>
        <w:spacing w:line="590" w:lineRule="exact"/>
        <w:ind w:firstLine="640" w:firstLineChars="200"/>
        <w:rPr>
          <w:rFonts w:ascii="仿宋_GB2312" w:eastAsia="仿宋_GB2312" w:cs="Times New Roman"/>
          <w:kern w:val="2"/>
          <w:sz w:val="32"/>
          <w:szCs w:val="32"/>
          <w:lang w:val="en-US" w:eastAsia="zh-Hans" w:bidi="ar-SA"/>
        </w:rPr>
      </w:pPr>
      <w:bookmarkStart w:id="14" w:name="_Toc1534_WPSOffice_Level3"/>
      <w:r>
        <w:rPr>
          <w:rFonts w:hint="eastAsia" w:ascii="仿宋_GB2312" w:eastAsia="仿宋_GB2312" w:cs="Times New Roman"/>
          <w:kern w:val="2"/>
          <w:sz w:val="32"/>
          <w:szCs w:val="32"/>
          <w:lang w:val="en-US" w:eastAsia="zh-CN" w:bidi="ar-SA"/>
        </w:rPr>
        <w:t>3.机构设置和人员配备</w:t>
      </w:r>
      <w:bookmarkEnd w:id="14"/>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（1）内设机构7个，分别为：办公室、发展规划处、数据资源管理处、创新应用处、法规与标准处（数据安全处）、机关党委、城市数字化治理推进处，无下属单位。</w:t>
      </w:r>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（2）截至2022年末，编制36名，实际在编人员32人，1名退休人员。</w:t>
      </w:r>
    </w:p>
    <w:p>
      <w:pPr>
        <w:pStyle w:val="32"/>
        <w:spacing w:line="590" w:lineRule="exact"/>
        <w:ind w:firstLine="640" w:firstLineChars="200"/>
        <w:rPr>
          <w:rFonts w:ascii="仿宋_GB2312" w:eastAsia="仿宋_GB2312" w:cs="Times New Roman"/>
          <w:kern w:val="2"/>
          <w:sz w:val="32"/>
          <w:szCs w:val="32"/>
          <w:lang w:val="en-US" w:eastAsia="zh-Hans" w:bidi="ar-SA"/>
        </w:rPr>
      </w:pPr>
      <w:bookmarkStart w:id="15" w:name="_Toc31157_WPSOffice_Level3"/>
      <w:r>
        <w:rPr>
          <w:rFonts w:hint="eastAsia" w:ascii="仿宋_GB2312" w:eastAsia="仿宋_GB2312" w:cs="Times New Roman"/>
          <w:kern w:val="2"/>
          <w:sz w:val="32"/>
          <w:szCs w:val="32"/>
          <w:lang w:val="en-US" w:eastAsia="zh-CN" w:bidi="ar-SA"/>
        </w:rPr>
        <w:t>4.固定资产情况</w:t>
      </w:r>
      <w:bookmarkEnd w:id="15"/>
    </w:p>
    <w:p>
      <w:pPr>
        <w:pStyle w:val="32"/>
        <w:spacing w:line="590" w:lineRule="exact"/>
        <w:ind w:firstLine="640" w:firstLineChars="200"/>
        <w:rPr>
          <w:rFonts w:ascii="仿宋" w:hAnsi="仿宋" w:eastAsia="仿宋" w:cs="仿宋"/>
          <w:sz w:val="32"/>
          <w:szCs w:val="32"/>
          <w:lang w:val="en-US" w:eastAsia="zh-CN"/>
        </w:rPr>
      </w:pPr>
      <w:r>
        <w:rPr>
          <w:rFonts w:hint="eastAsia" w:ascii="仿宋_GB2312" w:eastAsia="仿宋_GB2312" w:cs="Times New Roman"/>
          <w:kern w:val="2"/>
          <w:sz w:val="32"/>
          <w:szCs w:val="32"/>
          <w:lang w:val="en-US" w:eastAsia="zh-CN" w:bidi="ar-SA"/>
        </w:rPr>
        <w:t>2022年末市大数据管理局固定资产原值1,928,789.98元，主要为其他通用设备等；累计折旧887,646.30元，固定资产净值1,041,143.68元。</w:t>
      </w:r>
    </w:p>
    <w:p>
      <w:pPr>
        <w:pStyle w:val="3"/>
        <w:spacing w:before="240" w:after="120" w:afterLines="50"/>
        <w:ind w:left="714"/>
        <w:rPr>
          <w:rFonts w:ascii="仿宋" w:hAnsi="仿宋" w:eastAsia="仿宋"/>
          <w:b/>
          <w:bCs/>
          <w:sz w:val="32"/>
          <w:szCs w:val="32"/>
        </w:rPr>
      </w:pPr>
      <w:bookmarkStart w:id="16" w:name="_Toc138253186"/>
      <w:bookmarkStart w:id="17" w:name="_Toc5343_WPSOffice_Level2"/>
      <w:r>
        <w:rPr>
          <w:rFonts w:hint="eastAsia" w:ascii="仿宋" w:hAnsi="仿宋" w:eastAsia="仿宋"/>
          <w:b/>
          <w:bCs/>
          <w:sz w:val="32"/>
          <w:szCs w:val="32"/>
        </w:rPr>
        <w:t>（二）部门收支情况</w:t>
      </w:r>
      <w:bookmarkEnd w:id="16"/>
      <w:bookmarkEnd w:id="17"/>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市大数据局2022年预算下达数1,433.70万元，调整后批复部门预算数1,811.58万元，部门预算实际支出1,689.29万元，部门预算执行率为93.25%。</w:t>
      </w:r>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市大数据局2022年政务信息化专项资金分解下达预算1,465.19万元，实际支出1,435.59万元，执行率97.98%。</w:t>
      </w:r>
    </w:p>
    <w:p>
      <w:pPr>
        <w:pStyle w:val="3"/>
        <w:spacing w:before="240" w:after="120" w:afterLines="50"/>
        <w:ind w:left="714"/>
        <w:rPr>
          <w:rFonts w:ascii="仿宋" w:hAnsi="仿宋" w:eastAsia="仿宋"/>
          <w:b/>
          <w:bCs/>
          <w:sz w:val="32"/>
          <w:szCs w:val="32"/>
        </w:rPr>
      </w:pPr>
      <w:bookmarkStart w:id="18" w:name="bookmark39"/>
      <w:bookmarkStart w:id="19" w:name="_Toc12963_WPSOffice_Level2"/>
      <w:bookmarkStart w:id="20" w:name="_Toc138253187"/>
      <w:r>
        <w:rPr>
          <w:rFonts w:hint="eastAsia" w:ascii="仿宋" w:hAnsi="仿宋" w:eastAsia="仿宋"/>
          <w:b/>
          <w:bCs/>
          <w:sz w:val="32"/>
          <w:szCs w:val="32"/>
        </w:rPr>
        <w:t>（</w:t>
      </w:r>
      <w:bookmarkEnd w:id="18"/>
      <w:r>
        <w:rPr>
          <w:rFonts w:hint="eastAsia" w:ascii="仿宋" w:hAnsi="仿宋" w:eastAsia="仿宋"/>
          <w:b/>
          <w:bCs/>
          <w:sz w:val="32"/>
          <w:szCs w:val="32"/>
        </w:rPr>
        <w:t>三）部门绩效目标</w:t>
      </w:r>
      <w:bookmarkEnd w:id="19"/>
      <w:bookmarkEnd w:id="20"/>
    </w:p>
    <w:p>
      <w:pPr>
        <w:pStyle w:val="32"/>
        <w:spacing w:line="590" w:lineRule="exact"/>
        <w:ind w:firstLine="512" w:firstLineChars="160"/>
        <w:rPr>
          <w:rFonts w:ascii="仿宋_GB2312" w:eastAsia="仿宋_GB2312" w:cs="Times New Roman"/>
          <w:kern w:val="2"/>
          <w:sz w:val="32"/>
          <w:szCs w:val="32"/>
          <w:lang w:val="en-US" w:eastAsia="zh-CN" w:bidi="ar-SA"/>
        </w:rPr>
      </w:pPr>
      <w:bookmarkStart w:id="21" w:name="_Toc21755_WPSOffice_Level3"/>
      <w:r>
        <w:rPr>
          <w:rFonts w:hint="eastAsia" w:ascii="仿宋_GB2312" w:eastAsia="仿宋_GB2312" w:cs="Times New Roman"/>
          <w:kern w:val="2"/>
          <w:sz w:val="32"/>
          <w:szCs w:val="32"/>
          <w:lang w:val="en-US" w:eastAsia="zh-CN" w:bidi="ar-SA"/>
        </w:rPr>
        <w:t>1.中长期战略目标</w:t>
      </w:r>
      <w:bookmarkEnd w:id="21"/>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到2025年，把南京建设成为国际一流的新型智慧城市。以数字政府建设高效、城市管理能力进一步提升、社会治理水平显著提高、数字经济充分发展为目标，重点建成高度发达的新型基础设施、共享开放的数据治理体系、便民惠民保障体系、融合创新驱动的数字产业体系、安全可靠的区域信息安全保障体系的智慧南京发展新模式。</w:t>
      </w:r>
    </w:p>
    <w:p>
      <w:pPr>
        <w:pStyle w:val="32"/>
        <w:spacing w:line="590" w:lineRule="exact"/>
        <w:ind w:firstLine="512" w:firstLineChars="160"/>
        <w:rPr>
          <w:rFonts w:ascii="仿宋_GB2312" w:eastAsia="仿宋_GB2312" w:cs="Times New Roman"/>
          <w:kern w:val="2"/>
          <w:sz w:val="32"/>
          <w:szCs w:val="32"/>
          <w:lang w:val="en-US" w:eastAsia="zh-CN" w:bidi="ar-SA"/>
        </w:rPr>
      </w:pPr>
      <w:bookmarkStart w:id="22" w:name="bookmark41"/>
      <w:bookmarkEnd w:id="22"/>
      <w:r>
        <w:rPr>
          <w:rFonts w:hint="eastAsia" w:ascii="仿宋_GB2312" w:eastAsia="仿宋_GB2312" w:cs="Times New Roman"/>
          <w:kern w:val="2"/>
          <w:sz w:val="32"/>
          <w:szCs w:val="32"/>
          <w:lang w:val="en-US" w:eastAsia="zh-CN" w:bidi="ar-SA"/>
        </w:rPr>
        <w:t>2.2022年度目标</w:t>
      </w:r>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拟定电子政务专项资金计划并组织实施，加强政府投资电子政务项目审批，对市政务信息化专项资金项目预算执行进度和绩效目标实现程度实行“双监控”；梳理完善政务数据目录，梳理大数据局和信息中心在平台建设管理、标准规范数据共享、数据管理等方面的薄弱环节，提出解决方案，指导数据资源管理下一步工作安排；进一步提升政府网站运行管理水平；推进政务数据标准规范体系建设，提升数据安全水平。</w:t>
      </w:r>
    </w:p>
    <w:p>
      <w:pPr>
        <w:pStyle w:val="32"/>
        <w:spacing w:before="120" w:beforeLines="50" w:line="590" w:lineRule="exact"/>
        <w:ind w:firstLine="640" w:firstLineChars="200"/>
        <w:jc w:val="both"/>
        <w:outlineLvl w:val="0"/>
        <w:rPr>
          <w:rFonts w:ascii="黑体" w:hAnsi="黑体" w:eastAsia="黑体" w:cs="黑体"/>
          <w:sz w:val="32"/>
          <w:szCs w:val="32"/>
          <w:lang w:val="zh-CN" w:eastAsia="zh-CN" w:bidi="zh-CN"/>
        </w:rPr>
      </w:pPr>
      <w:bookmarkStart w:id="23" w:name="_Toc24244_WPSOffice_Level1"/>
      <w:bookmarkStart w:id="24" w:name="_Toc138253188"/>
      <w:r>
        <w:rPr>
          <w:rFonts w:hint="eastAsia" w:ascii="黑体" w:hAnsi="黑体" w:eastAsia="黑体" w:cs="黑体"/>
          <w:sz w:val="32"/>
          <w:szCs w:val="32"/>
          <w:lang w:val="zh-CN" w:eastAsia="zh-CN" w:bidi="zh-CN"/>
        </w:rPr>
        <w:t>二、评价结论</w:t>
      </w:r>
      <w:bookmarkEnd w:id="23"/>
      <w:bookmarkEnd w:id="24"/>
    </w:p>
    <w:p>
      <w:pPr>
        <w:pStyle w:val="3"/>
        <w:spacing w:before="240" w:after="120" w:afterLines="50"/>
        <w:ind w:left="714"/>
        <w:rPr>
          <w:rFonts w:ascii="仿宋" w:hAnsi="仿宋" w:eastAsia="仿宋"/>
          <w:b/>
          <w:bCs/>
          <w:sz w:val="32"/>
          <w:szCs w:val="32"/>
        </w:rPr>
      </w:pPr>
      <w:bookmarkStart w:id="25" w:name="_Toc138253189"/>
      <w:bookmarkStart w:id="26" w:name="_Toc1080_WPSOffice_Level2"/>
      <w:r>
        <w:rPr>
          <w:rFonts w:hint="eastAsia" w:ascii="仿宋" w:hAnsi="仿宋" w:eastAsia="仿宋"/>
          <w:b/>
          <w:bCs/>
          <w:sz w:val="32"/>
          <w:szCs w:val="32"/>
        </w:rPr>
        <w:t>（一）评价对象及范围</w:t>
      </w:r>
      <w:bookmarkEnd w:id="25"/>
      <w:bookmarkEnd w:id="26"/>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2022年度</w:t>
      </w:r>
      <w:r>
        <w:rPr>
          <w:rFonts w:hint="eastAsia" w:ascii="仿宋_GB2312" w:eastAsia="仿宋_GB2312" w:cs="Times New Roman"/>
          <w:kern w:val="2"/>
          <w:sz w:val="32"/>
          <w:szCs w:val="32"/>
          <w:lang w:val="en-US" w:eastAsia="zh-Hans" w:bidi="ar-SA"/>
        </w:rPr>
        <w:t>自</w:t>
      </w:r>
      <w:r>
        <w:rPr>
          <w:rFonts w:hint="eastAsia" w:ascii="仿宋_GB2312" w:eastAsia="仿宋_GB2312" w:cs="Times New Roman"/>
          <w:kern w:val="2"/>
          <w:sz w:val="32"/>
          <w:szCs w:val="32"/>
          <w:lang w:val="en-US" w:eastAsia="zh-CN" w:bidi="ar-SA"/>
        </w:rPr>
        <w:t>评价对象为市大数</w:t>
      </w:r>
      <w:r>
        <w:rPr>
          <w:rFonts w:hint="eastAsia" w:ascii="仿宋_GB2312" w:eastAsia="仿宋_GB2312" w:cs="Times New Roman"/>
          <w:kern w:val="2"/>
          <w:sz w:val="32"/>
          <w:szCs w:val="32"/>
          <w:lang w:val="en-US" w:eastAsia="zh-Hans" w:bidi="ar-SA"/>
        </w:rPr>
        <w:t>据局整体管理及履职情况，评价时段为</w:t>
      </w:r>
      <w:r>
        <w:rPr>
          <w:rFonts w:hint="eastAsia" w:ascii="仿宋_GB2312" w:eastAsia="仿宋_GB2312" w:cs="Times New Roman"/>
          <w:kern w:val="2"/>
          <w:sz w:val="32"/>
          <w:szCs w:val="32"/>
          <w:lang w:val="en-US" w:eastAsia="zh-CN" w:bidi="ar-SA"/>
        </w:rPr>
        <w:t>2022年1月1日-2022年12月31日。</w:t>
      </w:r>
    </w:p>
    <w:p>
      <w:pPr>
        <w:pStyle w:val="3"/>
        <w:spacing w:before="240" w:after="120" w:afterLines="50"/>
        <w:ind w:left="714"/>
        <w:rPr>
          <w:rFonts w:ascii="仿宋" w:hAnsi="仿宋" w:eastAsia="仿宋"/>
          <w:b/>
          <w:bCs/>
          <w:sz w:val="32"/>
          <w:szCs w:val="32"/>
        </w:rPr>
      </w:pPr>
      <w:bookmarkStart w:id="27" w:name="_Toc19665_WPSOffice_Level2"/>
      <w:bookmarkStart w:id="28" w:name="_Toc138253190"/>
      <w:r>
        <w:rPr>
          <w:rFonts w:hint="eastAsia" w:ascii="仿宋" w:hAnsi="仿宋" w:eastAsia="仿宋"/>
          <w:b/>
          <w:bCs/>
          <w:sz w:val="32"/>
          <w:szCs w:val="32"/>
        </w:rPr>
        <w:t>（二）评价结论</w:t>
      </w:r>
      <w:bookmarkEnd w:id="27"/>
      <w:bookmarkEnd w:id="28"/>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本次评价从市大数据局部门职能出发，以部门整体收支和履职情况为主线，结合部门中长期发展规划和年度工作计划，通过资料查阅、数据采集、访谈等方式，运用整体绩效评价指标体系和评分标准，对市大数据局2022年整体绩效进行客观评价，最终评分结果：93.08，等级为优。具体评分情况见附件1。</w:t>
      </w:r>
    </w:p>
    <w:p>
      <w:pPr>
        <w:pStyle w:val="32"/>
        <w:spacing w:line="360" w:lineRule="auto"/>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评价认为：2022年南京市大数据管理局认真贯彻中央关于大数据管理工作的方针政策，在市委市政府的领导下，认真履行各项职责，在城市运行“一网统管”建设、政务信息汇聚共享、政务数据管理体系规划和建设、对政务软件进行跟踪停用、转型或整合、贯彻落实大数据相关法律法规、大力宣传南京大数据等方面均取得较好的成绩对于存在的问题主要表现为：部门中长期目标和年度工作目标明确性不够，部分绩效指标内容未量化细化；预算支出序时进度合理性不强。</w:t>
      </w:r>
    </w:p>
    <w:p>
      <w:pPr>
        <w:pStyle w:val="2"/>
        <w:spacing w:line="360" w:lineRule="auto"/>
        <w:rPr>
          <w:rFonts w:ascii="黑体" w:hAnsi="黑体" w:eastAsia="黑体"/>
          <w:b w:val="0"/>
          <w:bCs w:val="0"/>
        </w:rPr>
      </w:pPr>
      <w:bookmarkStart w:id="29" w:name="_Toc138253191"/>
      <w:bookmarkStart w:id="30" w:name="_Toc1034_WPSOffice_Level1"/>
      <w:r>
        <w:rPr>
          <w:rFonts w:hint="eastAsia" w:ascii="黑体" w:hAnsi="黑体" w:eastAsia="黑体"/>
          <w:b w:val="0"/>
          <w:bCs w:val="0"/>
        </w:rPr>
        <w:t>三、部门履职成效</w:t>
      </w:r>
      <w:bookmarkEnd w:id="29"/>
      <w:bookmarkEnd w:id="30"/>
    </w:p>
    <w:p>
      <w:pPr>
        <w:pStyle w:val="3"/>
        <w:spacing w:before="120" w:after="120" w:afterLines="50"/>
        <w:ind w:left="714"/>
        <w:rPr>
          <w:rFonts w:ascii="仿宋" w:hAnsi="仿宋" w:eastAsia="仿宋"/>
          <w:b/>
          <w:bCs/>
          <w:sz w:val="32"/>
          <w:szCs w:val="32"/>
        </w:rPr>
      </w:pPr>
      <w:bookmarkStart w:id="31" w:name="_Toc138253192"/>
      <w:bookmarkStart w:id="32" w:name="_Toc14603_WPSOffice_Level2"/>
      <w:r>
        <w:rPr>
          <w:rFonts w:hint="eastAsia" w:ascii="仿宋" w:hAnsi="仿宋" w:eastAsia="仿宋"/>
          <w:b/>
          <w:bCs/>
          <w:sz w:val="32"/>
          <w:szCs w:val="32"/>
        </w:rPr>
        <w:t>（一）建立健全政务数据，促进数据有效共享</w:t>
      </w:r>
      <w:bookmarkEnd w:id="31"/>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强化制度建设及提升服务方面：贯彻落实省、市关于加快统筹推进数字政府高质量建设的相关文件要求，创新全市数据资源管理体制，研究起草了《南京市首席数据官制度试点实施方案》；会同市城市数字治理中心持续做好全市各级政务部门数据共享服务；主动积极参与了信息化项目立项和验收阶段的数据资源对接工作；按照《市委常委会2022年工作要点》和《南京市城市运行“一网统管”工作三年行动计划》（宁委办厅字〔2022〕5号）相关目标任务，会同大数据集团研究起草了《南京市公共数据运营服务管理办法（试行）》。</w:t>
      </w:r>
      <w:r>
        <w:rPr>
          <w:rFonts w:hint="eastAsia" w:ascii="仿宋_GB2312" w:eastAsia="仿宋_GB2312" w:cs="Times New Roman"/>
          <w:kern w:val="2"/>
          <w:sz w:val="32"/>
          <w:szCs w:val="32"/>
          <w:lang w:val="en-US" w:eastAsia="zh-CN" w:bidi="ar-SA"/>
        </w:rPr>
        <w:br w:type="textWrapping"/>
      </w:r>
      <w:r>
        <w:rPr>
          <w:rFonts w:hint="eastAsia" w:ascii="仿宋_GB2312" w:eastAsia="仿宋_GB2312" w:cs="Times New Roman"/>
          <w:kern w:val="2"/>
          <w:sz w:val="32"/>
          <w:szCs w:val="32"/>
          <w:lang w:val="en-US" w:eastAsia="zh-CN" w:bidi="ar-SA"/>
        </w:rPr>
        <w:t xml:space="preserve">   2.数据有序共享方面：按照国家、省市关于一体化大数据中心体系、促进数据有序共享的相关文件要求和重点任务，组织开展了全市政务数据资源普查，对全市54家市直单位、12个行政区、10家市属国有企业开展了全面摸底梳理，编制形成了“数据资源五清单”，为接下来全市的政务数据归集工作提供了有效依据；开展了南京市政务数据共享交换平台优化升级项目论证，在建设数据资源管理工作平台、升级数据目录管理模块、优化数据申请流程等方面提出了具体修改意见；积极配合全市“一网统管”工作，不断推进“四标四实”基础数据采集工作。</w:t>
      </w:r>
    </w:p>
    <w:p>
      <w:pPr>
        <w:pStyle w:val="3"/>
        <w:spacing w:before="240" w:line="360" w:lineRule="auto"/>
        <w:ind w:left="714"/>
        <w:rPr>
          <w:rFonts w:ascii="仿宋" w:hAnsi="仿宋" w:eastAsia="仿宋"/>
          <w:b/>
          <w:bCs/>
          <w:sz w:val="32"/>
          <w:szCs w:val="32"/>
        </w:rPr>
      </w:pPr>
      <w:bookmarkStart w:id="33" w:name="_Toc138253193"/>
      <w:r>
        <w:rPr>
          <w:rFonts w:hint="eastAsia" w:ascii="仿宋" w:hAnsi="仿宋" w:eastAsia="仿宋"/>
          <w:b/>
          <w:bCs/>
          <w:sz w:val="32"/>
          <w:szCs w:val="32"/>
        </w:rPr>
        <w:t>（二）</w:t>
      </w:r>
      <w:bookmarkEnd w:id="32"/>
      <w:r>
        <w:rPr>
          <w:rFonts w:hint="eastAsia" w:ascii="仿宋" w:hAnsi="仿宋" w:eastAsia="仿宋"/>
          <w:b/>
          <w:bCs/>
          <w:sz w:val="32"/>
          <w:szCs w:val="32"/>
        </w:rPr>
        <w:t>推进政务数据标准规范体系建设，提升数据安全水平，加强项目内部审计监督管理</w:t>
      </w:r>
      <w:bookmarkEnd w:id="33"/>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法规与标准化工作方面：贯彻落实《数据安全法》和《个人信息保护法》等大数据相关法律法规，做好规范性文件和合同的合法性审查，确保做到依法行政；开展《法人主数据规范》地方标准编制工作，作为南京市地方标准发布，更好地服务于大数据发展战略和智慧城市建设。</w:t>
      </w:r>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数据安全工作方面：协助审核政务信息化项目，完善政务信息化项目可研报告中数据安全章节编制的五个方面的具体要求，并对全市108个系统的可研报告进行审核，提升了全市各部门信息系统数据安全保障能力；开展政务信息化项目数据安全风险评估，提升了重要政务信息系统数据安全防范能力；开展市政务外网LRA分中心系统安全运维工作。通过数据安全建设工作，加强大数据局政务据安全保障能力，推动政务数据服务效率。</w:t>
      </w:r>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政务信息化项目内审工作方面：根据大数据局和信息中心信息化项目建设情况，及时安排项目竣工结算、决算审计，主要包括南京市进口冷链食品及从业人员监管平台、“我的南京”政务版信息化项目、北斗网格数据图基础平台项目的内部审计工作。通过内审工作了解项目投入、建设情况，揭示信息系统面临的风险，编制内审报告，提出改进建议。</w:t>
      </w:r>
    </w:p>
    <w:p>
      <w:pPr>
        <w:pStyle w:val="3"/>
        <w:spacing w:before="240" w:after="120" w:afterLines="50"/>
        <w:ind w:left="714"/>
        <w:rPr>
          <w:rFonts w:ascii="仿宋" w:hAnsi="仿宋" w:eastAsia="仿宋"/>
          <w:b/>
          <w:bCs/>
          <w:sz w:val="32"/>
          <w:szCs w:val="32"/>
        </w:rPr>
      </w:pPr>
      <w:bookmarkStart w:id="34" w:name="_Toc17726_WPSOffice_Level2"/>
      <w:bookmarkStart w:id="35" w:name="_Toc138253194"/>
      <w:r>
        <w:rPr>
          <w:rFonts w:hint="eastAsia" w:ascii="仿宋" w:hAnsi="仿宋" w:eastAsia="仿宋"/>
          <w:b/>
          <w:bCs/>
          <w:sz w:val="32"/>
          <w:szCs w:val="32"/>
        </w:rPr>
        <w:t>（三）</w:t>
      </w:r>
      <w:bookmarkEnd w:id="34"/>
      <w:r>
        <w:rPr>
          <w:rFonts w:hint="eastAsia" w:ascii="仿宋" w:hAnsi="仿宋" w:eastAsia="仿宋"/>
          <w:b/>
          <w:bCs/>
          <w:sz w:val="32"/>
          <w:szCs w:val="32"/>
        </w:rPr>
        <w:t>新闻媒体宣传推广</w:t>
      </w:r>
      <w:bookmarkEnd w:id="35"/>
    </w:p>
    <w:p>
      <w:pPr>
        <w:pStyle w:val="32"/>
        <w:spacing w:line="590" w:lineRule="exact"/>
        <w:ind w:firstLine="640" w:firstLineChars="200"/>
        <w:rPr>
          <w:rFonts w:ascii="仿宋_GB2312" w:eastAsia="仿宋_GB2312" w:cs="Times New Roman"/>
          <w:kern w:val="2"/>
          <w:sz w:val="32"/>
          <w:szCs w:val="32"/>
          <w:lang w:val="en-US" w:eastAsia="zh-CN" w:bidi="ar-SA"/>
        </w:rPr>
      </w:pPr>
      <w:bookmarkStart w:id="36" w:name="_Toc82_WPSOffice_Level2"/>
      <w:r>
        <w:rPr>
          <w:rFonts w:hint="eastAsia" w:ascii="仿宋_GB2312" w:eastAsia="仿宋_GB2312" w:cs="Times New Roman"/>
          <w:kern w:val="2"/>
          <w:sz w:val="32"/>
          <w:szCs w:val="32"/>
          <w:lang w:val="en-US" w:eastAsia="zh-CN" w:bidi="ar-SA"/>
        </w:rPr>
        <w:t>为加大南京大数据工作的宣传力度，围绕智慧南京、数字政府、数据赋能等方面，认真贯彻落实省市宣传思想、意识形态和网信工作会议精神，始终坚持正确的政治方向和宣传导向，深入了解人民群众对于大数据服务的期盼和诉求，充分利用新闻媒体优势特点，多方式、多方位、持续性推进南京市大数据管理局的宣传工作。为此，配备了具有较高政治素养、丰富采编经验的专业团队，完成日常宣传材料文字撰写及意识形态审查工作，从深度、广度、精度上挖掘、提升，做深度报道、系列报道、专题报道，完成原创新闻稿件共计20篇，撰写完成原创深度报道8篇；严格落实“三审三校”，选择优质内容并以较为科学的传播方式发布，新闻分发共计95篇，其中，被学习强国转载17篇，人民日报转载8篇，新华网转载9篇，宣传传播效果良好；通过生动活泼、群众喜闻乐见的表达方式，进行新媒体产品设计9次，同时为“南京城市运行管理中心”公众号前期运营提供了宣传素材，不断丰富新时代大数据工作的内涵，切实提高了群众对大数据工作的了解，展现了南京市大数据管理局为服务南京建设人民满意的社会主义现代化典范城市所做的努力与贡献。</w:t>
      </w:r>
    </w:p>
    <w:p>
      <w:pPr>
        <w:pStyle w:val="3"/>
        <w:spacing w:before="240" w:line="360" w:lineRule="auto"/>
        <w:ind w:left="714"/>
        <w:rPr>
          <w:rFonts w:ascii="仿宋" w:hAnsi="仿宋" w:eastAsia="仿宋"/>
          <w:b/>
          <w:bCs/>
          <w:sz w:val="32"/>
          <w:szCs w:val="32"/>
        </w:rPr>
      </w:pPr>
      <w:bookmarkStart w:id="37" w:name="_Toc138253195"/>
      <w:r>
        <w:rPr>
          <w:rFonts w:hint="eastAsia" w:ascii="仿宋" w:hAnsi="仿宋" w:eastAsia="仿宋"/>
          <w:b/>
          <w:bCs/>
          <w:sz w:val="32"/>
          <w:szCs w:val="32"/>
        </w:rPr>
        <w:t>（四）</w:t>
      </w:r>
      <w:bookmarkEnd w:id="36"/>
      <w:r>
        <w:rPr>
          <w:rFonts w:hint="eastAsia" w:ascii="仿宋" w:hAnsi="仿宋" w:eastAsia="仿宋"/>
          <w:b/>
          <w:bCs/>
          <w:sz w:val="32"/>
          <w:szCs w:val="32"/>
        </w:rPr>
        <w:t>推进政务软件整合、全市政府网站、“我的南京”等城市智能门户的规划建设、监督管理</w:t>
      </w:r>
      <w:bookmarkEnd w:id="37"/>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配合基层政务软件清理规范工作方面：落实市委、市政府领导在市委督查室《关于面向街（镇）、社区（村）政务软件统计评估情况的报告》上的批示精神和工作要求以及市级层面减负专项工作机制《关于进一步规范管理面向街（镇）、社区（村）政务软件的通知》（宁减负发﹝2022﹞2号）要求，对面向街（镇）、社区（村）150个政务软件进行梳理，同时对纳入清理名单的87个政务软件跟踪停用、转型或整合情况。</w:t>
      </w:r>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我的南京”政务版建设方面：“我的南京”政务版已完成平台部署并试运行1年，基础功能性能测试稳定，安全符合等保三级要求，该项目被评为“2022数字江苏建设优秀实践成果”。政务版各级管理员共计559名，预装各级分支机构20636个、工作人员信息114979人，102815人下载激活试用；平台共发送消息40.20万条。</w:t>
      </w:r>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市政府网站群内容安全保障体系和监督评估能力的建设方面：编写报送《人工智能助力信息安全管控，“三道关口”严守网站内容安全》《“数据洞察服务平台”助力政府网站运营管理》等五个案例。加强涉及党的二十大内容分析研判，重点从网站平台安全和内容安全两个方面进行分析，形成政府网站领域意识形态月度研判报告。“南京的我”小程序与“我的南京”APP共同构成南京市城市智能门户服务体系。“南京的我”小程序基于可信数据管理、码链融合的应用实现政民互动服务，通过将个人主数据及防疫相关数据纳入自然人、家庭可信帐户，为市民提供数据查询、补充、纠错、授权等即搜即用的服务。至目前累计注册用户数超1500万人，其中实人认证用户超1000万。</w:t>
      </w:r>
    </w:p>
    <w:p>
      <w:pPr>
        <w:pStyle w:val="3"/>
        <w:spacing w:before="240" w:line="360" w:lineRule="auto"/>
        <w:ind w:left="714"/>
        <w:rPr>
          <w:rFonts w:ascii="仿宋" w:hAnsi="仿宋" w:eastAsia="仿宋"/>
          <w:b/>
          <w:bCs/>
          <w:sz w:val="32"/>
          <w:szCs w:val="32"/>
        </w:rPr>
      </w:pPr>
      <w:bookmarkStart w:id="38" w:name="_Toc138253196"/>
      <w:r>
        <w:rPr>
          <w:rFonts w:hint="eastAsia" w:ascii="仿宋" w:hAnsi="仿宋" w:eastAsia="仿宋"/>
          <w:b/>
          <w:bCs/>
          <w:sz w:val="32"/>
          <w:szCs w:val="32"/>
        </w:rPr>
        <w:t>（五）推进“一网统管”与城市数字化治理，加强项目审批</w:t>
      </w:r>
      <w:bookmarkEnd w:id="38"/>
    </w:p>
    <w:p>
      <w:pPr>
        <w:pStyle w:val="32"/>
        <w:spacing w:line="360" w:lineRule="auto"/>
        <w:ind w:firstLine="640" w:firstLineChars="200"/>
        <w:rPr>
          <w:rFonts w:ascii="仿宋_GB2312" w:eastAsia="仿宋_GB2312" w:cs="Times New Roman"/>
          <w:kern w:val="2"/>
          <w:sz w:val="32"/>
          <w:szCs w:val="32"/>
          <w:lang w:val="en-US" w:eastAsia="zh-CN" w:bidi="ar-SA"/>
        </w:rPr>
      </w:pPr>
      <w:bookmarkStart w:id="39" w:name="_Toc4543_WPSOffice_Level1"/>
      <w:r>
        <w:rPr>
          <w:rFonts w:hint="eastAsia" w:ascii="仿宋_GB2312" w:eastAsia="仿宋_GB2312" w:cs="Times New Roman"/>
          <w:kern w:val="2"/>
          <w:sz w:val="32"/>
          <w:szCs w:val="32"/>
          <w:lang w:val="en-US" w:eastAsia="zh-CN" w:bidi="ar-SA"/>
        </w:rPr>
        <w:t>1.相关规划和文件的编制方面：编制并推动两办印发《南京市整体推进城市数字化转型“十四五”规划》、《南京市城市运行“一网统管”工作三年行动计划》、《南京市城市运行一网统管“四标四实”工作实施方案》、《市政府关于加快推进南京数字政府高质量建设的实施方案》四个全市性文件。拟定了政府规章《南京市推进城市运行“一网统管”暂行办法》，已提请市政府常务会议审议。</w:t>
      </w:r>
    </w:p>
    <w:p>
      <w:pPr>
        <w:pStyle w:val="32"/>
        <w:spacing w:line="360" w:lineRule="auto"/>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政务信息化项目管理方面：完成2022年市政务信息化项目审批工作和政务信息化专项资金安排，编制2023年市政务信息化项目投资计划，完善政务信息化项目网络安全管理。初步建立了项目网络安全联合审查工作机制，督促项目建设单位落实政务信息化建设网络安全要求。按照国家、省最新要求，联合市委网信办、市委机要保密局等部门建立项目可研安全内容审核工作机制，完善可研安全建设模板，进一步提升了项目审批科学性，完成市政府投资计划政务信息化类项目审批工作。</w:t>
      </w:r>
    </w:p>
    <w:p>
      <w:pPr>
        <w:pStyle w:val="32"/>
        <w:spacing w:line="360" w:lineRule="auto"/>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推动“一网统管”工作方面：推动建立城市数字治理工作组织体系，增设城市数字化治理推进处。推动“一网统管”联合实验室实体化运行。完成了全市36个部门和江北新区、各区“一网统管”数字化体检，梳理出各单位数字化治理重大场景，宣贯工作标准和技术要求。举办面向全市部门和板块的“一网统管”大讲堂活动。持续推进城市运行智能化监测调度综合平台建设。在综合指挥调度系统建设上，指导市城市数字治理中心建设“一网统管”综合调度系统。依托“一网统管”和城市数字化治理模式，加快数据整合共享，完成了政务信息汇聚共享的预期计划目标。</w:t>
      </w:r>
    </w:p>
    <w:p>
      <w:pPr>
        <w:pStyle w:val="2"/>
        <w:spacing w:line="360" w:lineRule="auto"/>
        <w:rPr>
          <w:rFonts w:ascii="黑体" w:hAnsi="黑体" w:eastAsia="黑体"/>
          <w:b w:val="0"/>
          <w:bCs w:val="0"/>
        </w:rPr>
      </w:pPr>
      <w:bookmarkStart w:id="40" w:name="_Toc138253197"/>
      <w:r>
        <w:rPr>
          <w:rFonts w:hint="eastAsia" w:ascii="黑体" w:hAnsi="黑体" w:eastAsia="黑体"/>
          <w:b w:val="0"/>
          <w:bCs w:val="0"/>
        </w:rPr>
        <w:t>四、存在问题及原因分析</w:t>
      </w:r>
      <w:bookmarkEnd w:id="39"/>
      <w:bookmarkEnd w:id="40"/>
    </w:p>
    <w:p>
      <w:pPr>
        <w:pStyle w:val="32"/>
        <w:spacing w:line="360" w:lineRule="auto"/>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经本次绩效自评工作的组织实施，根据《2022年度部门整体绩效评价评分表》，逐项对照，认真梳理，发现主要存在的问题及原因分析如下：</w:t>
      </w:r>
    </w:p>
    <w:p>
      <w:pPr>
        <w:pStyle w:val="3"/>
        <w:spacing w:before="240" w:after="120" w:afterLines="50"/>
        <w:ind w:left="714"/>
        <w:rPr>
          <w:rFonts w:ascii="仿宋" w:hAnsi="仿宋" w:eastAsia="仿宋"/>
          <w:b/>
          <w:bCs/>
          <w:sz w:val="32"/>
          <w:szCs w:val="32"/>
        </w:rPr>
      </w:pPr>
      <w:bookmarkStart w:id="41" w:name="_Toc12394_WPSOffice_Level2"/>
      <w:bookmarkStart w:id="42" w:name="_Toc138253198"/>
      <w:r>
        <w:rPr>
          <w:rFonts w:hint="eastAsia" w:ascii="仿宋" w:hAnsi="仿宋" w:eastAsia="仿宋"/>
          <w:b/>
          <w:bCs/>
          <w:sz w:val="32"/>
          <w:szCs w:val="32"/>
        </w:rPr>
        <w:t>(一）部门中长期目标和年度工作目标的明确性仍需提高</w:t>
      </w:r>
      <w:bookmarkEnd w:id="41"/>
      <w:bookmarkEnd w:id="42"/>
    </w:p>
    <w:p>
      <w:pPr>
        <w:pStyle w:val="32"/>
        <w:spacing w:line="590" w:lineRule="exact"/>
        <w:ind w:firstLine="640" w:firstLineChars="200"/>
        <w:rPr>
          <w:rFonts w:ascii="仿宋_GB2312" w:eastAsia="仿宋_GB2312" w:cs="Times New Roman"/>
          <w:kern w:val="2"/>
          <w:sz w:val="32"/>
          <w:szCs w:val="32"/>
          <w:lang w:val="en-US" w:eastAsia="zh-CN" w:bidi="ar-SA"/>
        </w:rPr>
      </w:pPr>
      <w:bookmarkStart w:id="43" w:name="_Toc19140_WPSOffice_Level2"/>
      <w:r>
        <w:rPr>
          <w:rFonts w:hint="eastAsia" w:ascii="仿宋_GB2312" w:eastAsia="仿宋_GB2312" w:cs="Times New Roman"/>
          <w:kern w:val="2"/>
          <w:sz w:val="32"/>
          <w:szCs w:val="32"/>
          <w:lang w:val="en-US" w:eastAsia="zh-CN" w:bidi="ar-SA"/>
        </w:rPr>
        <w:t>部门中长期规划的制定较为笼统，明确性不够，缺乏具体工作内容、时间进度等要点，也未能与部门年度工作目标相对应，各处室中长期发展目标的具体实施时间也未明确。</w:t>
      </w:r>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部门年度工作目标以《绩效目标任务表》和《2022年工作计划》代替，其中各项任务基本可衡量可实现，与部门职责匹配，但个别任务规划与实际情况不符，部分内容不够明确细化，内容未能涵盖市大数据局2022年的总体工作。</w:t>
      </w:r>
    </w:p>
    <w:p>
      <w:pPr>
        <w:pStyle w:val="3"/>
        <w:spacing w:before="240" w:after="120" w:afterLines="50"/>
        <w:ind w:left="714"/>
        <w:rPr>
          <w:rFonts w:ascii="仿宋" w:hAnsi="仿宋" w:eastAsia="仿宋"/>
          <w:b/>
          <w:bCs/>
          <w:sz w:val="32"/>
          <w:szCs w:val="32"/>
        </w:rPr>
      </w:pPr>
      <w:bookmarkStart w:id="44" w:name="_Toc138253199"/>
      <w:r>
        <w:rPr>
          <w:rFonts w:hint="eastAsia" w:ascii="仿宋" w:hAnsi="仿宋" w:eastAsia="仿宋"/>
          <w:b/>
          <w:bCs/>
          <w:sz w:val="32"/>
          <w:szCs w:val="32"/>
        </w:rPr>
        <w:t>（二）</w:t>
      </w:r>
      <w:bookmarkEnd w:id="43"/>
      <w:r>
        <w:rPr>
          <w:rFonts w:hint="eastAsia" w:ascii="仿宋" w:hAnsi="仿宋" w:eastAsia="仿宋"/>
          <w:b/>
          <w:bCs/>
          <w:sz w:val="32"/>
          <w:szCs w:val="32"/>
        </w:rPr>
        <w:t>部分项目的经费预算执行率低</w:t>
      </w:r>
      <w:bookmarkEnd w:id="44"/>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2022年度部门预算执行率绩效目标值为100.00%，实际部门预算执行率93.25%，较上年有较大提高，但仍有部分项目预算编制缺乏前瞻性，经费执行率低。如大数据专项业务培训费资金预算金额为10.00万元，执行资金2.22万元，预算执行率为22.15%；数据安全工作经费（数据安全咨询）预算金额为15.00万元，执行资金8.76万元，预算执行率为58.40%。</w:t>
      </w:r>
    </w:p>
    <w:p>
      <w:pPr>
        <w:pStyle w:val="3"/>
        <w:spacing w:before="240" w:after="120" w:afterLines="50"/>
        <w:ind w:left="714"/>
        <w:rPr>
          <w:rFonts w:ascii="仿宋" w:hAnsi="仿宋" w:eastAsia="仿宋"/>
          <w:b/>
          <w:bCs/>
          <w:sz w:val="32"/>
          <w:szCs w:val="32"/>
        </w:rPr>
      </w:pPr>
      <w:bookmarkStart w:id="45" w:name="_Toc138253200"/>
      <w:r>
        <w:rPr>
          <w:rFonts w:hint="eastAsia" w:ascii="仿宋" w:hAnsi="仿宋" w:eastAsia="仿宋"/>
          <w:b/>
          <w:bCs/>
          <w:sz w:val="32"/>
          <w:szCs w:val="32"/>
        </w:rPr>
        <w:t>（三）绩效目标的全面性、明确性、可衡量性等有待提高</w:t>
      </w:r>
      <w:bookmarkEnd w:id="45"/>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年度绩效指标的设置不够全面，未能对项目实施全方面绩效管理；部分绩效指标的设置较为简单，无法全面反映项目实施内容及效益，缺乏参考性；部分目标设定的明确性、匹配性、可达到性与可衡量性欠缺，导致不能被正确理解和评价，如政务信息化项目管理工作经费项目部门履职指标中的三级指标“城市治理数字化水平”，其指标值为大幅提升，该指标的设定与项目的任务目标不对应且指标值不可衡量；政务数据资源治理项目部门履职指标中的三级指标 “课题完成率”与“数据中心一体化”，此两项指标的设定与项目的任务目标亦不对应，其中“数据中心一体化”的指标值为显著提升，无法进行衡量。</w:t>
      </w:r>
    </w:p>
    <w:p>
      <w:pPr>
        <w:pStyle w:val="3"/>
        <w:spacing w:before="240" w:line="360" w:lineRule="auto"/>
        <w:ind w:left="714"/>
        <w:rPr>
          <w:rFonts w:ascii="仿宋" w:hAnsi="仿宋" w:eastAsia="仿宋"/>
          <w:b/>
          <w:bCs/>
          <w:sz w:val="32"/>
          <w:szCs w:val="32"/>
        </w:rPr>
      </w:pPr>
      <w:bookmarkStart w:id="46" w:name="_Toc138253201"/>
      <w:r>
        <w:rPr>
          <w:rFonts w:hint="eastAsia" w:ascii="仿宋" w:hAnsi="仿宋" w:eastAsia="仿宋"/>
          <w:b/>
          <w:bCs/>
          <w:sz w:val="32"/>
          <w:szCs w:val="32"/>
        </w:rPr>
        <w:t>（四）部分项目绩效成果资料的留存及收集工作还有待加强</w:t>
      </w:r>
      <w:bookmarkEnd w:id="46"/>
    </w:p>
    <w:p>
      <w:pPr>
        <w:pStyle w:val="32"/>
        <w:spacing w:line="360" w:lineRule="auto"/>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项目实施过程中，各项目基本能够按照要求对项目的实施过程进行管理控制，但个别项目过程管理规范性仍有提升空间。对资料留存及收集整理的意识还有所欠缺，项目实施绩效成果资料收集不够完整。</w:t>
      </w:r>
    </w:p>
    <w:p>
      <w:pPr>
        <w:pStyle w:val="2"/>
        <w:spacing w:before="120" w:beforeLines="50" w:line="360" w:lineRule="auto"/>
        <w:ind w:left="760"/>
        <w:rPr>
          <w:rFonts w:ascii="黑体" w:hAnsi="黑体" w:eastAsia="黑体"/>
          <w:b w:val="0"/>
          <w:bCs w:val="0"/>
        </w:rPr>
      </w:pPr>
      <w:bookmarkStart w:id="47" w:name="bookmark57"/>
      <w:bookmarkEnd w:id="47"/>
      <w:bookmarkStart w:id="48" w:name="_Toc138253202"/>
      <w:bookmarkStart w:id="49" w:name="_Toc1186_WPSOffice_Level1"/>
      <w:r>
        <w:rPr>
          <w:rFonts w:hint="eastAsia" w:ascii="黑体" w:hAnsi="黑体" w:eastAsia="黑体"/>
          <w:b w:val="0"/>
          <w:bCs w:val="0"/>
        </w:rPr>
        <w:t>五、有关建议</w:t>
      </w:r>
      <w:bookmarkEnd w:id="48"/>
      <w:bookmarkEnd w:id="49"/>
    </w:p>
    <w:p>
      <w:pPr>
        <w:pStyle w:val="3"/>
        <w:spacing w:before="120" w:after="120" w:afterLines="50"/>
        <w:ind w:left="714"/>
        <w:rPr>
          <w:rFonts w:ascii="仿宋" w:hAnsi="仿宋" w:eastAsia="仿宋"/>
          <w:b/>
          <w:bCs/>
          <w:sz w:val="32"/>
          <w:szCs w:val="32"/>
        </w:rPr>
      </w:pPr>
      <w:bookmarkStart w:id="50" w:name="bookmark58"/>
      <w:bookmarkStart w:id="51" w:name="_Toc28252_WPSOffice_Level2"/>
      <w:bookmarkStart w:id="52" w:name="_Toc138253203"/>
      <w:r>
        <w:rPr>
          <w:rFonts w:hint="eastAsia" w:ascii="仿宋" w:hAnsi="仿宋" w:eastAsia="仿宋"/>
          <w:b/>
          <w:bCs/>
          <w:sz w:val="32"/>
          <w:szCs w:val="32"/>
        </w:rPr>
        <w:t>（</w:t>
      </w:r>
      <w:bookmarkEnd w:id="50"/>
      <w:r>
        <w:rPr>
          <w:rFonts w:hint="eastAsia" w:ascii="仿宋" w:hAnsi="仿宋" w:eastAsia="仿宋"/>
          <w:b/>
          <w:bCs/>
          <w:sz w:val="32"/>
          <w:szCs w:val="32"/>
        </w:rPr>
        <w:t>一）</w:t>
      </w:r>
      <w:bookmarkEnd w:id="51"/>
      <w:r>
        <w:rPr>
          <w:rFonts w:hint="eastAsia" w:ascii="仿宋" w:hAnsi="仿宋" w:eastAsia="仿宋"/>
          <w:b/>
          <w:bCs/>
          <w:sz w:val="32"/>
          <w:szCs w:val="32"/>
        </w:rPr>
        <w:t>优化绩效目标的设置，发挥绩效目标考核的意义</w:t>
      </w:r>
      <w:bookmarkEnd w:id="52"/>
    </w:p>
    <w:p>
      <w:pPr>
        <w:pStyle w:val="32"/>
        <w:spacing w:line="590" w:lineRule="exact"/>
        <w:ind w:firstLine="512" w:firstLineChars="160"/>
        <w:rPr>
          <w:rFonts w:ascii="仿宋_GB2312" w:eastAsia="仿宋_GB2312" w:cs="Times New Roman"/>
          <w:kern w:val="2"/>
          <w:sz w:val="32"/>
          <w:szCs w:val="32"/>
          <w:lang w:val="en-US" w:eastAsia="zh-CN" w:bidi="ar-SA"/>
        </w:rPr>
      </w:pPr>
      <w:bookmarkStart w:id="53" w:name="bookmark59"/>
      <w:bookmarkStart w:id="54" w:name="_Toc23644_WPSOffice_Level2"/>
      <w:r>
        <w:rPr>
          <w:rFonts w:hint="eastAsia" w:ascii="仿宋_GB2312" w:eastAsia="仿宋_GB2312" w:cs="Times New Roman"/>
          <w:kern w:val="2"/>
          <w:sz w:val="32"/>
          <w:szCs w:val="32"/>
          <w:lang w:val="en-US" w:eastAsia="zh-CN" w:bidi="ar-SA"/>
        </w:rPr>
        <w:t>在今后制定年度绩效目标时，建议根据相关政府工作报告、年度工作计划和年度工作任务等文书文件中体现的具体要求，进一步梳理细化后，建议以指向明确、定性与定量相结合、合理可行为基本原则，贴合单位各项目实际执行情况，科学规范编制预算支出绩效总目标，并将绩效总目标分解为若干个具体的绩效指标，从数量、质量、成本、时效和效益等方面尽可能量化，不能量化的，采用分级分档的形式定性表述。同时，使各项指标与各个项目的工作任务相契合，既能客观反映履职内容和资金使用的成效，同时又使绩效指标达到可度量、可考核的情况，最大限度保证部门及项目绩效目标设计的科学性。对于预计完成周期超过一年的重点工作，合理制定年度计划目标，并认真执行，确保年度重点工作顺利完成。</w:t>
      </w:r>
    </w:p>
    <w:p>
      <w:pPr>
        <w:pStyle w:val="3"/>
        <w:spacing w:before="240" w:line="360" w:lineRule="auto"/>
        <w:ind w:left="714"/>
        <w:rPr>
          <w:rFonts w:ascii="仿宋" w:hAnsi="仿宋" w:eastAsia="仿宋"/>
          <w:b/>
          <w:bCs/>
          <w:sz w:val="32"/>
          <w:szCs w:val="32"/>
        </w:rPr>
      </w:pPr>
      <w:bookmarkStart w:id="55" w:name="_Toc138253204"/>
      <w:r>
        <w:rPr>
          <w:rFonts w:hint="eastAsia" w:ascii="仿宋" w:hAnsi="仿宋" w:eastAsia="仿宋"/>
          <w:b/>
          <w:bCs/>
          <w:sz w:val="32"/>
          <w:szCs w:val="32"/>
        </w:rPr>
        <w:t>（</w:t>
      </w:r>
      <w:bookmarkEnd w:id="53"/>
      <w:r>
        <w:rPr>
          <w:rFonts w:hint="eastAsia" w:ascii="仿宋" w:hAnsi="仿宋" w:eastAsia="仿宋"/>
          <w:b/>
          <w:bCs/>
          <w:sz w:val="32"/>
          <w:szCs w:val="32"/>
        </w:rPr>
        <w:t>二）</w:t>
      </w:r>
      <w:bookmarkEnd w:id="54"/>
      <w:r>
        <w:rPr>
          <w:rFonts w:hint="eastAsia" w:ascii="仿宋" w:hAnsi="仿宋" w:eastAsia="仿宋"/>
          <w:b/>
          <w:bCs/>
          <w:sz w:val="32"/>
          <w:szCs w:val="32"/>
        </w:rPr>
        <w:t>提高预算编制</w:t>
      </w:r>
      <w:r>
        <w:rPr>
          <w:rFonts w:hint="eastAsia" w:ascii="仿宋" w:hAnsi="仿宋" w:eastAsia="仿宋"/>
          <w:b/>
          <w:bCs/>
          <w:sz w:val="32"/>
          <w:szCs w:val="32"/>
          <w:lang w:val="en-US" w:eastAsia="zh-CN"/>
        </w:rPr>
        <w:t>科学性</w:t>
      </w:r>
      <w:r>
        <w:rPr>
          <w:rFonts w:hint="eastAsia" w:ascii="仿宋" w:hAnsi="仿宋" w:eastAsia="仿宋"/>
          <w:b/>
          <w:bCs/>
          <w:sz w:val="32"/>
          <w:szCs w:val="32"/>
        </w:rPr>
        <w:t>，充分考虑变动因素，加强预算绩效目标值设定的合理性</w:t>
      </w:r>
      <w:bookmarkEnd w:id="55"/>
    </w:p>
    <w:p>
      <w:pPr>
        <w:pStyle w:val="32"/>
        <w:spacing w:line="590" w:lineRule="exact"/>
        <w:ind w:firstLine="512" w:firstLineChars="160"/>
        <w:rPr>
          <w:rFonts w:ascii="仿宋_GB2312" w:eastAsia="仿宋_GB2312" w:cs="Times New Roman"/>
          <w:kern w:val="2"/>
          <w:sz w:val="32"/>
          <w:szCs w:val="32"/>
          <w:lang w:val="en-US" w:eastAsia="zh-CN" w:bidi="ar-SA"/>
        </w:rPr>
      </w:pPr>
      <w:bookmarkStart w:id="56" w:name="bookmark60"/>
      <w:bookmarkStart w:id="57" w:name="_Toc17986_WPSOffice_Level2"/>
      <w:r>
        <w:rPr>
          <w:rFonts w:hint="eastAsia" w:ascii="仿宋_GB2312" w:eastAsia="仿宋_GB2312" w:cs="Times New Roman"/>
          <w:kern w:val="2"/>
          <w:sz w:val="32"/>
          <w:szCs w:val="32"/>
          <w:lang w:val="en-US" w:eastAsia="zh-CN" w:bidi="ar-SA"/>
        </w:rPr>
        <w:t>预算项目绩效目标设定在参照上年度执行情况基础上的同时，应对项目的测算基础数据和成本底数进行更加详尽的分析和预测，结合实际调研评估情况以及本年度资金使用规划情况，合理设置绩效目标值。关注预算项目实际执行情况，若发现执行与计划存在较大偏差，需及时查找问题原因并作出调整，提高预算执行效率。</w:t>
      </w:r>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结合绩效评价工作的开展，进一步加强对单位经费使用的约束管理，在项目立项阶段明确对各项目承接方提出加强资金管理与使用的要求，强化结果应用，最大程度避免因客观原因造成的目标完成情况与目标值偏离现象。</w:t>
      </w:r>
    </w:p>
    <w:p>
      <w:pPr>
        <w:pStyle w:val="3"/>
        <w:spacing w:before="240" w:after="120" w:afterLines="50"/>
        <w:ind w:left="714"/>
        <w:rPr>
          <w:rFonts w:ascii="仿宋" w:hAnsi="仿宋" w:eastAsia="仿宋"/>
          <w:b/>
          <w:bCs/>
          <w:sz w:val="32"/>
          <w:szCs w:val="32"/>
        </w:rPr>
      </w:pPr>
      <w:bookmarkStart w:id="58" w:name="_Toc138253205"/>
      <w:r>
        <w:rPr>
          <w:rFonts w:hint="eastAsia" w:ascii="仿宋" w:hAnsi="仿宋" w:eastAsia="仿宋"/>
          <w:b/>
          <w:bCs/>
          <w:sz w:val="32"/>
          <w:szCs w:val="32"/>
        </w:rPr>
        <w:t>（</w:t>
      </w:r>
      <w:bookmarkEnd w:id="56"/>
      <w:r>
        <w:rPr>
          <w:rFonts w:hint="eastAsia" w:ascii="仿宋" w:hAnsi="仿宋" w:eastAsia="仿宋"/>
          <w:b/>
          <w:bCs/>
          <w:sz w:val="32"/>
          <w:szCs w:val="32"/>
        </w:rPr>
        <w:t>三）</w:t>
      </w:r>
      <w:bookmarkEnd w:id="57"/>
      <w:bookmarkStart w:id="59" w:name="bookmark61"/>
      <w:r>
        <w:rPr>
          <w:rFonts w:hint="eastAsia" w:ascii="仿宋" w:hAnsi="仿宋" w:eastAsia="仿宋"/>
          <w:b/>
          <w:bCs/>
          <w:sz w:val="32"/>
          <w:szCs w:val="32"/>
        </w:rPr>
        <w:t>重视项目绩效资料的留存与收集</w:t>
      </w:r>
      <w:bookmarkEnd w:id="58"/>
    </w:p>
    <w:p>
      <w:pPr>
        <w:pStyle w:val="32"/>
        <w:spacing w:line="590" w:lineRule="exact"/>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在项目执行环节应注重及时收集项目绩效资料，加强对相关数据的汇总分析和历史比对，从多方面反映项目绩效成果的实现程度，全面展示项目实施效果。在项目执行过程中督促项目负责人及时组织开展满意度调查，分层分级科学设计调查问卷，深入分析项目实施的效果和不足，通过对调查问卷的统计分析和结果应用，持续推进项目绩效的跟进和提升。</w:t>
      </w:r>
    </w:p>
    <w:p>
      <w:pPr>
        <w:pStyle w:val="3"/>
        <w:spacing w:before="240" w:after="120" w:afterLines="50" w:line="360" w:lineRule="auto"/>
        <w:ind w:left="714"/>
        <w:rPr>
          <w:rFonts w:ascii="仿宋" w:hAnsi="仿宋" w:eastAsia="仿宋"/>
          <w:b/>
          <w:bCs/>
          <w:sz w:val="32"/>
          <w:szCs w:val="32"/>
        </w:rPr>
      </w:pPr>
      <w:bookmarkStart w:id="60" w:name="_Toc138253206"/>
      <w:r>
        <w:rPr>
          <w:rFonts w:hint="eastAsia" w:ascii="仿宋" w:hAnsi="仿宋" w:eastAsia="仿宋"/>
          <w:b/>
          <w:bCs/>
          <w:sz w:val="32"/>
          <w:szCs w:val="32"/>
        </w:rPr>
        <w:t>（四）完善绩效评价相关制度，加强宣传学习</w:t>
      </w:r>
      <w:bookmarkEnd w:id="60"/>
    </w:p>
    <w:p>
      <w:pPr>
        <w:pStyle w:val="32"/>
        <w:spacing w:line="360" w:lineRule="auto"/>
        <w:ind w:firstLine="512" w:firstLineChars="16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随着预算绩效管理工作的逐步开展，建议在未来的绩效管理工作中逐步建立和完善财政支出绩效评价相关制度，包括绩效目标审查制度、项目绩效考核制度、绩效奖惩制度等；同时加强宣传引导,强化绩效观念，通过采取专题培训、主题会议以及学习交流会等多种形式，组织学习预算绩效管理的法律法规、规范要求，让绩效理念深入人心、让绩效管理人员熟知政策法规。</w:t>
      </w:r>
    </w:p>
    <w:bookmarkEnd w:id="59"/>
    <w:p>
      <w:pPr>
        <w:pStyle w:val="2"/>
        <w:spacing w:line="360" w:lineRule="auto"/>
        <w:rPr>
          <w:rFonts w:hint="eastAsia" w:ascii="黑体" w:hAnsi="黑体" w:eastAsia="黑体"/>
          <w:b w:val="0"/>
          <w:bCs w:val="0"/>
        </w:rPr>
      </w:pPr>
      <w:bookmarkStart w:id="61" w:name="_Toc3220_WPSOffice_Level1"/>
      <w:bookmarkStart w:id="62" w:name="_Toc138253207"/>
    </w:p>
    <w:p>
      <w:pPr>
        <w:pStyle w:val="2"/>
        <w:spacing w:line="360" w:lineRule="auto"/>
        <w:rPr>
          <w:rFonts w:hint="eastAsia" w:ascii="黑体" w:hAnsi="黑体" w:eastAsia="黑体"/>
          <w:b w:val="0"/>
          <w:bCs w:val="0"/>
        </w:rPr>
      </w:pPr>
    </w:p>
    <w:p>
      <w:pPr>
        <w:pStyle w:val="2"/>
        <w:spacing w:line="360" w:lineRule="auto"/>
        <w:rPr>
          <w:rFonts w:ascii="黑体" w:hAnsi="黑体" w:eastAsia="黑体"/>
          <w:b w:val="0"/>
          <w:bCs w:val="0"/>
        </w:rPr>
      </w:pPr>
      <w:r>
        <w:rPr>
          <w:rFonts w:hint="eastAsia" w:ascii="黑体" w:hAnsi="黑体" w:eastAsia="黑体"/>
          <w:b w:val="0"/>
          <w:bCs w:val="0"/>
        </w:rPr>
        <w:t>六、评价工作开展情况</w:t>
      </w:r>
      <w:bookmarkEnd w:id="61"/>
      <w:bookmarkEnd w:id="62"/>
    </w:p>
    <w:p>
      <w:pPr>
        <w:pStyle w:val="3"/>
        <w:spacing w:before="120" w:after="120" w:afterLines="50"/>
        <w:ind w:left="714"/>
        <w:rPr>
          <w:rFonts w:ascii="仿宋" w:hAnsi="仿宋" w:eastAsia="仿宋"/>
          <w:b/>
          <w:bCs/>
          <w:sz w:val="32"/>
          <w:szCs w:val="32"/>
        </w:rPr>
      </w:pPr>
      <w:bookmarkStart w:id="63" w:name="_Toc138253208"/>
      <w:bookmarkStart w:id="64" w:name="_Toc3715_WPSOffice_Level2"/>
      <w:r>
        <w:rPr>
          <w:rFonts w:hint="eastAsia" w:ascii="仿宋" w:hAnsi="仿宋" w:eastAsia="仿宋"/>
          <w:b/>
          <w:bCs/>
          <w:sz w:val="32"/>
          <w:szCs w:val="32"/>
        </w:rPr>
        <w:t>（一）基本情况</w:t>
      </w:r>
      <w:bookmarkEnd w:id="63"/>
      <w:bookmarkEnd w:id="64"/>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本次绩效评价主要对市大数据管理局2022年整体绩效进行评价，通过部门决策、部门管理、部门履职、履职效果及能力建设的分析，找出部门履职和管理中的薄弱环节，提出改进建议，提高部门履职效率，充分发挥部门履职效益和效果，助力健康可持续发展。从“部门决策”、“部门管理”、“部门履职”、“履职效果”、“可持续发展能力”五个维度来设计 5 项一级指标、23项二级指标和56项三级指标，其中重点关注“部门履职”和“履职效果”，指标权重定为60%。</w:t>
      </w:r>
    </w:p>
    <w:p>
      <w:pPr>
        <w:pStyle w:val="3"/>
        <w:spacing w:before="240" w:after="120" w:afterLines="50"/>
        <w:ind w:left="714"/>
        <w:rPr>
          <w:rFonts w:ascii="仿宋" w:hAnsi="仿宋" w:eastAsia="仿宋"/>
          <w:b/>
          <w:bCs/>
          <w:sz w:val="32"/>
          <w:szCs w:val="32"/>
        </w:rPr>
      </w:pPr>
      <w:bookmarkStart w:id="65" w:name="_bookmark19"/>
      <w:bookmarkEnd w:id="65"/>
      <w:bookmarkStart w:id="66" w:name="_Toc10036_WPSOffice_Level2"/>
      <w:bookmarkStart w:id="67" w:name="_Toc138253209"/>
      <w:r>
        <w:rPr>
          <w:rFonts w:hint="eastAsia" w:ascii="仿宋" w:hAnsi="仿宋" w:eastAsia="仿宋"/>
          <w:b/>
          <w:bCs/>
          <w:sz w:val="32"/>
          <w:szCs w:val="32"/>
        </w:rPr>
        <w:t>（二）评价组织实施</w:t>
      </w:r>
      <w:bookmarkEnd w:id="66"/>
      <w:bookmarkEnd w:id="67"/>
    </w:p>
    <w:p>
      <w:pPr>
        <w:pStyle w:val="32"/>
        <w:spacing w:line="590" w:lineRule="exact"/>
        <w:ind w:firstLine="640" w:firstLineChars="200"/>
        <w:rPr>
          <w:rFonts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评价组通过初步调查搜集资料、走访调研等，开展研发指标体系、起草工作方案、设计基础数据表、设计调查问卷等工作。发放和回收、审核基础数据表，开展实地核查和满意度调查。对所有收集资料进行综合整理分析，起草初步报告。通过征求意见、专家评审、部门沟通、修改完善等过程，最终形成定稿。</w:t>
      </w:r>
    </w:p>
    <w:p>
      <w:pPr>
        <w:pStyle w:val="32"/>
        <w:spacing w:line="590" w:lineRule="exact"/>
        <w:ind w:firstLine="640" w:firstLineChars="200"/>
        <w:rPr>
          <w:rFonts w:ascii="仿宋_GB2312" w:eastAsia="仿宋_GB2312" w:cs="Times New Roman"/>
          <w:kern w:val="2"/>
          <w:sz w:val="32"/>
          <w:szCs w:val="32"/>
          <w:lang w:val="en-US" w:eastAsia="zh-CN" w:bidi="ar-SA"/>
        </w:rPr>
      </w:pPr>
    </w:p>
    <w:p>
      <w:pPr>
        <w:pStyle w:val="5"/>
        <w:spacing w:before="77" w:line="590" w:lineRule="exact"/>
        <w:ind w:right="157"/>
      </w:pPr>
      <w:bookmarkStart w:id="68" w:name="_Toc27155_WPSOffice_Level1"/>
      <w:r>
        <w:rPr>
          <w:rFonts w:hint="eastAsia"/>
        </w:rPr>
        <w:t>附件：南京市大数据管理局</w:t>
      </w:r>
      <w:r>
        <w:rPr>
          <w:rFonts w:hint="eastAsia"/>
          <w:lang w:val="en-US"/>
        </w:rPr>
        <w:t>2022年</w:t>
      </w:r>
      <w:r>
        <w:rPr>
          <w:rFonts w:hint="eastAsia"/>
        </w:rPr>
        <w:t>部门整体绩效评价评分表</w:t>
      </w:r>
      <w:bookmarkEnd w:id="68"/>
      <w:bookmarkStart w:id="69" w:name="_bookmark20"/>
      <w:bookmarkEnd w:id="69"/>
    </w:p>
    <w:p>
      <w:pPr>
        <w:pStyle w:val="32"/>
        <w:spacing w:after="200" w:line="590" w:lineRule="exact"/>
        <w:ind w:firstLine="640"/>
        <w:jc w:val="both"/>
        <w:rPr>
          <w:rFonts w:ascii="仿宋_GB2312" w:hAnsi="仿宋_GB2312" w:eastAsia="仿宋_GB2312" w:cs="仿宋_GB2312"/>
          <w:sz w:val="32"/>
          <w:szCs w:val="32"/>
        </w:rPr>
        <w:sectPr>
          <w:footerReference r:id="rId8" w:type="default"/>
          <w:pgSz w:w="11900" w:h="16840"/>
          <w:pgMar w:top="1388" w:right="1595" w:bottom="1781" w:left="1715" w:header="850" w:footer="992" w:gutter="0"/>
          <w:pgNumType w:start="1"/>
          <w:cols w:space="720" w:num="1"/>
          <w:docGrid w:linePitch="360" w:charSpace="0"/>
        </w:sectPr>
      </w:pPr>
      <w:bookmarkStart w:id="70" w:name="bookmark65"/>
      <w:bookmarkEnd w:id="70"/>
    </w:p>
    <w:p>
      <w:pPr>
        <w:rPr>
          <w:rFonts w:ascii="仿宋" w:hAnsi="仿宋" w:eastAsia="仿宋" w:cs="仿宋"/>
          <w:sz w:val="32"/>
          <w:szCs w:val="32"/>
          <w:lang w:eastAsia="zh-CN"/>
        </w:rPr>
      </w:pPr>
      <w:r>
        <w:rPr>
          <w:rFonts w:hint="eastAsia" w:ascii="仿宋" w:hAnsi="仿宋" w:eastAsia="仿宋" w:cs="仿宋"/>
          <w:sz w:val="32"/>
          <w:szCs w:val="32"/>
          <w:lang w:eastAsia="zh-CN"/>
        </w:rPr>
        <w:t>附件1</w:t>
      </w:r>
    </w:p>
    <w:p>
      <w:pPr>
        <w:ind w:firstLine="2610" w:firstLineChars="500"/>
        <w:rPr>
          <w:rFonts w:ascii="仿宋" w:hAnsi="仿宋" w:eastAsia="仿宋" w:cs="仿宋"/>
          <w:b/>
          <w:bCs/>
          <w:sz w:val="52"/>
          <w:szCs w:val="52"/>
          <w:lang w:eastAsia="zh-CN"/>
        </w:rPr>
      </w:pPr>
      <w:bookmarkStart w:id="71" w:name="_Toc336_WPSOffice_Level1"/>
      <w:r>
        <w:rPr>
          <w:rFonts w:hint="eastAsia" w:ascii="仿宋" w:hAnsi="仿宋" w:eastAsia="仿宋" w:cs="仿宋"/>
          <w:b/>
          <w:bCs/>
          <w:sz w:val="52"/>
          <w:szCs w:val="52"/>
          <w:lang w:eastAsia="zh-CN"/>
        </w:rPr>
        <w:t>南京市大数据局2022年度部门整体绩效评价评分表</w:t>
      </w:r>
      <w:bookmarkEnd w:id="71"/>
    </w:p>
    <w:tbl>
      <w:tblPr>
        <w:tblStyle w:val="14"/>
        <w:tblW w:w="15367" w:type="dxa"/>
        <w:jc w:val="center"/>
        <w:tblLayout w:type="fixed"/>
        <w:tblCellMar>
          <w:top w:w="0" w:type="dxa"/>
          <w:left w:w="0" w:type="dxa"/>
          <w:bottom w:w="0" w:type="dxa"/>
          <w:right w:w="0" w:type="dxa"/>
        </w:tblCellMar>
      </w:tblPr>
      <w:tblGrid>
        <w:gridCol w:w="834"/>
        <w:gridCol w:w="810"/>
        <w:gridCol w:w="1510"/>
        <w:gridCol w:w="480"/>
        <w:gridCol w:w="830"/>
        <w:gridCol w:w="4213"/>
        <w:gridCol w:w="5924"/>
        <w:gridCol w:w="766"/>
      </w:tblGrid>
      <w:tr>
        <w:tblPrEx>
          <w:tblCellMar>
            <w:top w:w="0" w:type="dxa"/>
            <w:left w:w="0" w:type="dxa"/>
            <w:bottom w:w="0" w:type="dxa"/>
            <w:right w:w="0" w:type="dxa"/>
          </w:tblCellMar>
        </w:tblPrEx>
        <w:trPr>
          <w:cantSplit/>
          <w:trHeight w:val="548" w:hRule="atLeast"/>
          <w:tblHeader/>
          <w:jc w:val="center"/>
        </w:trPr>
        <w:tc>
          <w:tcPr>
            <w:tcW w:w="8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lang w:eastAsia="zh-CN" w:bidi="ar"/>
              </w:rPr>
            </w:pPr>
            <w:r>
              <w:rPr>
                <w:rFonts w:hint="eastAsia" w:ascii="仿宋" w:hAnsi="仿宋" w:eastAsia="仿宋" w:cs="仿宋"/>
                <w:bCs/>
                <w:lang w:eastAsia="zh-CN" w:bidi="ar"/>
              </w:rPr>
              <w:t>一级</w:t>
            </w:r>
          </w:p>
          <w:p>
            <w:pPr>
              <w:widowControl/>
              <w:jc w:val="center"/>
              <w:textAlignment w:val="center"/>
              <w:rPr>
                <w:rFonts w:ascii="仿宋" w:hAnsi="仿宋" w:eastAsia="仿宋" w:cs="仿宋"/>
                <w:bCs/>
                <w:kern w:val="2"/>
              </w:rPr>
            </w:pPr>
            <w:r>
              <w:rPr>
                <w:rFonts w:hint="eastAsia" w:ascii="仿宋" w:hAnsi="仿宋" w:eastAsia="仿宋" w:cs="仿宋"/>
                <w:bCs/>
                <w:lang w:eastAsia="zh-CN" w:bidi="ar"/>
              </w:rPr>
              <w:t>指标</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lang w:eastAsia="zh-CN" w:bidi="ar"/>
              </w:rPr>
            </w:pPr>
            <w:r>
              <w:rPr>
                <w:rFonts w:hint="eastAsia" w:ascii="仿宋" w:hAnsi="仿宋" w:eastAsia="仿宋" w:cs="仿宋"/>
                <w:bCs/>
                <w:lang w:eastAsia="zh-CN" w:bidi="ar"/>
              </w:rPr>
              <w:t>二级</w:t>
            </w:r>
          </w:p>
          <w:p>
            <w:pPr>
              <w:widowControl/>
              <w:jc w:val="center"/>
              <w:textAlignment w:val="center"/>
              <w:rPr>
                <w:rFonts w:ascii="仿宋" w:hAnsi="仿宋" w:eastAsia="仿宋" w:cs="仿宋"/>
                <w:bCs/>
                <w:kern w:val="2"/>
              </w:rPr>
            </w:pPr>
            <w:r>
              <w:rPr>
                <w:rFonts w:hint="eastAsia" w:ascii="仿宋" w:hAnsi="仿宋" w:eastAsia="仿宋" w:cs="仿宋"/>
                <w:bCs/>
                <w:lang w:eastAsia="zh-CN" w:bidi="ar"/>
              </w:rPr>
              <w:t>指标</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kern w:val="2"/>
              </w:rPr>
            </w:pPr>
            <w:r>
              <w:rPr>
                <w:rFonts w:hint="eastAsia" w:ascii="仿宋" w:hAnsi="仿宋" w:eastAsia="仿宋" w:cs="仿宋"/>
                <w:bCs/>
                <w:lang w:eastAsia="zh-CN" w:bidi="ar"/>
              </w:rPr>
              <w:t xml:space="preserve"> 三级指标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kern w:val="2"/>
              </w:rPr>
            </w:pPr>
            <w:r>
              <w:rPr>
                <w:rFonts w:hint="eastAsia" w:ascii="仿宋" w:hAnsi="仿宋" w:eastAsia="仿宋" w:cs="仿宋"/>
                <w:bCs/>
                <w:lang w:eastAsia="zh-CN" w:bidi="ar"/>
              </w:rPr>
              <w:t>权重</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kern w:val="2"/>
              </w:rPr>
            </w:pPr>
            <w:r>
              <w:rPr>
                <w:rFonts w:hint="eastAsia" w:ascii="仿宋" w:hAnsi="仿宋" w:eastAsia="仿宋" w:cs="仿宋"/>
                <w:bCs/>
                <w:lang w:eastAsia="zh-CN" w:bidi="ar"/>
              </w:rPr>
              <w:t>目标值</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kern w:val="2"/>
              </w:rPr>
            </w:pPr>
            <w:r>
              <w:rPr>
                <w:rFonts w:hint="eastAsia" w:ascii="仿宋" w:hAnsi="仿宋" w:eastAsia="仿宋" w:cs="仿宋"/>
                <w:bCs/>
                <w:lang w:eastAsia="zh-CN" w:bidi="ar"/>
              </w:rPr>
              <w:t xml:space="preserve"> 评分规则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kern w:val="2"/>
              </w:rPr>
            </w:pPr>
            <w:r>
              <w:rPr>
                <w:rFonts w:hint="eastAsia" w:ascii="仿宋" w:hAnsi="仿宋" w:eastAsia="仿宋" w:cs="仿宋"/>
                <w:bCs/>
                <w:lang w:eastAsia="zh-CN" w:bidi="ar"/>
              </w:rPr>
              <w:t xml:space="preserve"> 评分过程 </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Cs/>
                <w:kern w:val="2"/>
              </w:rPr>
            </w:pPr>
            <w:r>
              <w:rPr>
                <w:rFonts w:hint="eastAsia" w:ascii="仿宋" w:hAnsi="仿宋" w:eastAsia="仿宋" w:cs="仿宋"/>
                <w:bCs/>
                <w:lang w:eastAsia="zh-CN" w:bidi="ar"/>
              </w:rPr>
              <w:t>得分</w:t>
            </w:r>
          </w:p>
        </w:tc>
      </w:tr>
      <w:tr>
        <w:tblPrEx>
          <w:tblCellMar>
            <w:top w:w="0" w:type="dxa"/>
            <w:left w:w="0" w:type="dxa"/>
            <w:bottom w:w="0" w:type="dxa"/>
            <w:right w:w="0" w:type="dxa"/>
          </w:tblCellMar>
        </w:tblPrEx>
        <w:trPr>
          <w:cantSplit/>
          <w:trHeight w:val="1077"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A部门决策（15分）</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A1决策机制（3）</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A11决策机制科学规范性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3</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规范</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w:t>
            </w:r>
            <w:r>
              <w:rPr>
                <w:rFonts w:hint="eastAsia" w:ascii="仿宋" w:hAnsi="仿宋" w:eastAsia="仿宋" w:cs="仿宋"/>
                <w:kern w:val="2"/>
                <w:lang w:eastAsia="zh-CN" w:bidi="ar"/>
              </w:rPr>
              <w:t>①</w:t>
            </w:r>
            <w:r>
              <w:rPr>
                <w:rFonts w:hint="eastAsia" w:ascii="仿宋" w:hAnsi="仿宋" w:eastAsia="仿宋" w:cs="仿宋"/>
                <w:lang w:eastAsia="zh-CN" w:bidi="ar"/>
              </w:rPr>
              <w:t>部门是否建立了关于重大经济活动、重大资金安排的决策制度；</w:t>
            </w:r>
            <w:r>
              <w:rPr>
                <w:rFonts w:hint="eastAsia" w:ascii="仿宋" w:hAnsi="仿宋" w:eastAsia="仿宋" w:cs="仿宋"/>
                <w:kern w:val="2"/>
                <w:lang w:eastAsia="zh-CN" w:bidi="ar"/>
              </w:rPr>
              <w:t>②</w:t>
            </w:r>
            <w:r>
              <w:rPr>
                <w:rFonts w:hint="eastAsia" w:ascii="仿宋" w:hAnsi="仿宋" w:eastAsia="仿宋" w:cs="仿宋"/>
                <w:lang w:eastAsia="zh-CN" w:bidi="ar"/>
              </w:rPr>
              <w:t>决策制度是否科学可行；</w:t>
            </w:r>
            <w:r>
              <w:rPr>
                <w:rFonts w:hint="eastAsia" w:ascii="仿宋" w:hAnsi="仿宋" w:eastAsia="仿宋" w:cs="仿宋"/>
                <w:kern w:val="2"/>
                <w:lang w:eastAsia="zh-CN" w:bidi="ar"/>
              </w:rPr>
              <w:t>③</w:t>
            </w:r>
            <w:r>
              <w:rPr>
                <w:rFonts w:hint="eastAsia" w:ascii="仿宋" w:hAnsi="仿宋" w:eastAsia="仿宋" w:cs="仿宋"/>
                <w:lang w:eastAsia="zh-CN" w:bidi="ar"/>
              </w:rPr>
              <w:t xml:space="preserve">决策流程设计是否规范合理。以上各项各占1/3权重，符合得对应权重分，否则不得分。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执行“三重一大”决策制度，决策制度完整，决策流程清晰、合理，得权重分满分。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3</w:t>
            </w:r>
          </w:p>
        </w:tc>
      </w:tr>
      <w:tr>
        <w:tblPrEx>
          <w:tblCellMar>
            <w:top w:w="0" w:type="dxa"/>
            <w:left w:w="0" w:type="dxa"/>
            <w:bottom w:w="0" w:type="dxa"/>
            <w:right w:w="0" w:type="dxa"/>
          </w:tblCellMar>
        </w:tblPrEx>
        <w:trPr>
          <w:cantSplit/>
          <w:trHeight w:val="135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A2中长期目标（4）</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A21中长期目标明确性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科学</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56"/>
              <w:spacing w:before="16"/>
              <w:ind w:left="108"/>
              <w:rPr>
                <w:kern w:val="2"/>
              </w:rPr>
            </w:pPr>
            <w:r>
              <w:rPr>
                <w:rFonts w:hint="eastAsia"/>
                <w:lang w:val="en-US" w:bidi="ar"/>
              </w:rPr>
              <w:t xml:space="preserve">①是否制定中长期工作目标；②中长期目标实施内容明确；③中长期目标是否有明确的时间安排；④中长期目标是否有明确的考核方法。以上4项各占1/4权重分，符合得对应权重分，否则不得分。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市大数据2019年成立，中长期目标以“三定”方案的部门职责代替，各处室中长期发展目标具体实施时间未明确，扣25%权重分。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1.5</w:t>
            </w:r>
          </w:p>
        </w:tc>
      </w:tr>
      <w:tr>
        <w:tblPrEx>
          <w:tblCellMar>
            <w:top w:w="0" w:type="dxa"/>
            <w:left w:w="0" w:type="dxa"/>
            <w:bottom w:w="0" w:type="dxa"/>
            <w:right w:w="0" w:type="dxa"/>
          </w:tblCellMar>
        </w:tblPrEx>
        <w:trPr>
          <w:cantSplit/>
          <w:trHeight w:val="107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A22中长期目标与部门职能的匹配性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匹配</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部门中长期目标是否与部门职能相匹配，每发现一例不匹配事项，扣25%权重，扣完为止。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部门中长期目标明确性不够，但“三定方案”部门职责与部门处室职责基本匹配，扣25%权重分。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1.5</w:t>
            </w:r>
          </w:p>
        </w:tc>
      </w:tr>
      <w:tr>
        <w:tblPrEx>
          <w:tblCellMar>
            <w:top w:w="0" w:type="dxa"/>
            <w:left w:w="0" w:type="dxa"/>
            <w:bottom w:w="0" w:type="dxa"/>
            <w:right w:w="0" w:type="dxa"/>
          </w:tblCellMar>
        </w:tblPrEx>
        <w:trPr>
          <w:cantSplit/>
          <w:trHeight w:val="108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A3年度工作目标（4）</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rPr>
            </w:pPr>
            <w:r>
              <w:rPr>
                <w:rFonts w:hint="eastAsia" w:ascii="仿宋" w:hAnsi="仿宋" w:eastAsia="仿宋" w:cs="仿宋"/>
                <w:lang w:eastAsia="zh-CN" w:bidi="ar"/>
              </w:rPr>
              <w:t>A31年度工作目标明确性</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明确</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①制定年度工作目标；②年度目标有明确的时间安排；③年度目标有明确的人员安排；④年度目标有明确的考核安排。以上4项各占1/4权重，符合得对应权重分，否则不得分。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color w:val="auto"/>
                <w:kern w:val="2"/>
                <w:lang w:eastAsia="zh-CN"/>
              </w:rPr>
            </w:pPr>
            <w:r>
              <w:rPr>
                <w:rFonts w:hint="eastAsia" w:ascii="仿宋" w:hAnsi="仿宋" w:eastAsia="仿宋" w:cs="仿宋"/>
                <w:color w:val="auto"/>
                <w:lang w:eastAsia="zh-CN" w:bidi="ar"/>
              </w:rPr>
              <w:t>部门年度工作目标以《绩效目标任务表》和《2023年工作打算》代替，年度绩效目标任务表部分指标设置不清晰，考核办法不明确，得75%权重分。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1.5</w:t>
            </w:r>
          </w:p>
        </w:tc>
      </w:tr>
      <w:tr>
        <w:tblPrEx>
          <w:tblCellMar>
            <w:top w:w="0" w:type="dxa"/>
            <w:left w:w="0" w:type="dxa"/>
            <w:bottom w:w="0" w:type="dxa"/>
            <w:right w:w="0" w:type="dxa"/>
          </w:tblCellMar>
        </w:tblPrEx>
        <w:trPr>
          <w:cantSplit/>
          <w:trHeight w:val="107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rPr>
            </w:pPr>
            <w:r>
              <w:rPr>
                <w:rFonts w:hint="eastAsia" w:ascii="仿宋" w:hAnsi="仿宋" w:eastAsia="仿宋" w:cs="仿宋"/>
                <w:lang w:eastAsia="zh-CN" w:bidi="ar"/>
              </w:rPr>
              <w:t>A32年度工作目标科学性合理性</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匹配</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①部门年度工作目标中的各项目标是否均符合部门职能；② 是否与部门和行业规划相匹配。以上2项各占 1/2 权重分，符合得对应权重分，否则不得分。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2"/>
                <w:lang w:eastAsia="zh-CN"/>
              </w:rPr>
            </w:pPr>
            <w:r>
              <w:rPr>
                <w:rFonts w:hint="eastAsia" w:ascii="仿宋" w:hAnsi="仿宋" w:eastAsia="仿宋" w:cs="仿宋"/>
                <w:color w:val="auto"/>
                <w:lang w:eastAsia="zh-CN" w:bidi="ar"/>
              </w:rPr>
              <w:t>年度目标中各项任务基本可衡量可实现，与部门职责匹配，个别任务规划与实际情况不符，部分内容不够明确细化，内容未能涵盖市大数据局2022年总体工作，得75%权重分。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1.5</w:t>
            </w:r>
          </w:p>
        </w:tc>
      </w:tr>
      <w:tr>
        <w:tblPrEx>
          <w:tblCellMar>
            <w:top w:w="0" w:type="dxa"/>
            <w:left w:w="0" w:type="dxa"/>
            <w:bottom w:w="0" w:type="dxa"/>
            <w:right w:w="0" w:type="dxa"/>
          </w:tblCellMar>
        </w:tblPrEx>
        <w:trPr>
          <w:cantSplit/>
          <w:trHeight w:val="1121"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A4预算编制（4）</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rPr>
            </w:pPr>
            <w:r>
              <w:rPr>
                <w:rFonts w:hint="eastAsia" w:ascii="仿宋" w:hAnsi="仿宋" w:eastAsia="仿宋" w:cs="仿宋"/>
                <w:lang w:eastAsia="zh-CN" w:bidi="ar"/>
              </w:rPr>
              <w:t>A41预算编制科学规范</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科学规范</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①部门预算编制完整，列示清晰；②预算依据充分，即数量测算依据明确、科学、合理；③预算与绩效目标匹配。以上3项各占1/3权重，符合则得分，否则扣相应权重分。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建立内部预算编制制度，编制流程规范，预算与绩效目标匹配性有待加强，扣1/3权重分。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1.33</w:t>
            </w:r>
          </w:p>
        </w:tc>
      </w:tr>
      <w:tr>
        <w:tblPrEx>
          <w:tblCellMar>
            <w:top w:w="0" w:type="dxa"/>
            <w:left w:w="0" w:type="dxa"/>
            <w:bottom w:w="0" w:type="dxa"/>
            <w:right w:w="0" w:type="dxa"/>
          </w:tblCellMar>
        </w:tblPrEx>
        <w:trPr>
          <w:cantSplit/>
          <w:trHeight w:val="107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A42预算编制与重点工作任务的匹配性</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匹配</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预算编制是否符合2022年部门重点工作任务，符合条件得分，否则每有一项不符合扣10%权重分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市大数据局与预算编制符合2022年部门重点工作任务，得权重分。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r>
      <w:tr>
        <w:tblPrEx>
          <w:tblCellMar>
            <w:top w:w="0" w:type="dxa"/>
            <w:left w:w="0" w:type="dxa"/>
            <w:bottom w:w="0" w:type="dxa"/>
            <w:right w:w="0" w:type="dxa"/>
          </w:tblCellMar>
        </w:tblPrEx>
        <w:trPr>
          <w:cantSplit/>
          <w:trHeight w:val="812"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val="en-US" w:eastAsia="zh-CN" w:bidi="ar"/>
              </w:rPr>
              <w:t>B</w:t>
            </w:r>
            <w:r>
              <w:rPr>
                <w:rFonts w:hint="eastAsia" w:ascii="仿宋" w:hAnsi="仿宋" w:eastAsia="仿宋" w:cs="仿宋"/>
                <w:lang w:eastAsia="zh-CN" w:bidi="ar"/>
              </w:rPr>
              <w:t>部门管理（20分）</w:t>
            </w: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B1预算执行（4）</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B11部门预算执行率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100%</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预算执行率=（实际支出额/预算资金总额）×100%。得到100%得对应权重分,否则每降低1%扣1%权重分,扣完为止。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2022年部门预算执行率为93.25%，扣7%权重分。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0.93</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lang w:eastAsia="zh-CN" w:bidi="ar"/>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lang w:eastAsia="zh-CN" w:bidi="ar"/>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B12专项资金执行率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2"/>
                <w:lang w:eastAsia="zh-CN" w:bidi="ar"/>
              </w:rPr>
            </w:pPr>
            <w:r>
              <w:rPr>
                <w:rFonts w:hint="eastAsia" w:ascii="仿宋" w:hAnsi="仿宋" w:eastAsia="仿宋" w:cs="仿宋"/>
                <w:color w:val="auto"/>
                <w:lang w:eastAsia="zh-CN" w:bidi="ar"/>
              </w:rPr>
              <w:t>100%</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市大数据局2022年市政务信息化专项资金分解下达资金资金执行率=(专项资金实际支出额/专项资金预算总额）×100%。得到100%得对应权重分,否则每降低1%扣1%权重分,扣完为止。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2022年部门专项资金执行率为97.98%,扣3%权重分。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2"/>
                <w:lang w:eastAsia="zh-CN"/>
              </w:rPr>
            </w:pPr>
            <w:r>
              <w:rPr>
                <w:rFonts w:hint="eastAsia" w:ascii="仿宋" w:hAnsi="仿宋" w:eastAsia="仿宋" w:cs="仿宋"/>
                <w:color w:val="auto"/>
                <w:lang w:eastAsia="zh-CN" w:bidi="ar"/>
              </w:rPr>
              <w:t>0.97</w:t>
            </w:r>
          </w:p>
        </w:tc>
      </w:tr>
      <w:tr>
        <w:tblPrEx>
          <w:tblCellMar>
            <w:top w:w="0" w:type="dxa"/>
            <w:left w:w="0" w:type="dxa"/>
            <w:bottom w:w="0" w:type="dxa"/>
            <w:right w:w="0" w:type="dxa"/>
          </w:tblCellMar>
        </w:tblPrEx>
        <w:trPr>
          <w:cantSplit/>
          <w:trHeight w:val="812"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B13三公经费控制率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2"/>
                <w:lang w:eastAsia="zh-CN" w:bidi="ar"/>
              </w:rPr>
            </w:pPr>
            <w:r>
              <w:rPr>
                <w:rFonts w:hint="eastAsia" w:ascii="仿宋" w:hAnsi="仿宋" w:eastAsia="仿宋" w:cs="仿宋"/>
                <w:color w:val="auto"/>
                <w:lang w:eastAsia="zh-CN" w:bidi="ar"/>
              </w:rPr>
              <w:t>100%</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“三公经费”控制率=(“三公经费”本年实际支出数/本年“三公经费”预算安排数)×100%。实际未超预算，得权重分。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三公经费控制率小于1，得权重分。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B14预决算信息公开情况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公开</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①预决算信息在江苏省预决算公开统一平台和部门门户网站公开;②按规定时限公开</w:t>
            </w:r>
            <w:r>
              <w:rPr>
                <w:rFonts w:hint="eastAsia" w:ascii="仿宋" w:hAnsi="仿宋" w:eastAsia="仿宋" w:cs="仿宋"/>
                <w:color w:val="auto"/>
                <w:lang w:eastAsia="zh-CN" w:bidi="ar"/>
              </w:rPr>
              <w:t>预决算信息。以上2项各占1/2权重分,符合得对应</w:t>
            </w:r>
            <w:r>
              <w:rPr>
                <w:rFonts w:hint="eastAsia" w:ascii="仿宋" w:hAnsi="仿宋" w:eastAsia="仿宋" w:cs="仿宋"/>
                <w:lang w:eastAsia="zh-CN" w:bidi="ar"/>
              </w:rPr>
              <w:t>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kern w:val="2"/>
                <w:lang w:eastAsia="zh-CN"/>
              </w:rPr>
              <w:t>按要求公开，得权重分。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B2收支管理（3）</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B21收支管理制度健全性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 xml:space="preserve"> 健全 </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①是否有</w:t>
            </w:r>
            <w:r>
              <w:rPr>
                <w:rFonts w:hint="eastAsia" w:ascii="仿宋" w:hAnsi="仿宋" w:eastAsia="仿宋" w:cs="仿宋"/>
                <w:color w:val="auto"/>
                <w:lang w:eastAsia="zh-CN" w:bidi="ar"/>
              </w:rPr>
              <w:t xml:space="preserve">适用的部门收支管理制度;②收支管理制度符合相关法律法规要求,内容收入管理、支出管理等方面。以上2项各占1/2权重分,符合得对应权重分,否则不得分。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已建立《南京市大数据局经费支出报销审批办法（试行）》、《南京市大数据局财务管理办法（试行）》等收支管理制度，部门收支管理制度健全、完善。 </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r>
      <w:tr>
        <w:tblPrEx>
          <w:tblCellMar>
            <w:top w:w="0" w:type="dxa"/>
            <w:left w:w="0" w:type="dxa"/>
            <w:bottom w:w="0" w:type="dxa"/>
            <w:right w:w="0" w:type="dxa"/>
          </w:tblCellMar>
        </w:tblPrEx>
        <w:trPr>
          <w:cantSplit/>
          <w:trHeight w:val="812"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B22收支管理规范性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规范</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textAlignment w:val="top"/>
              <w:rPr>
                <w:rFonts w:ascii="仿宋" w:hAnsi="仿宋" w:eastAsia="仿宋" w:cs="仿宋"/>
                <w:kern w:val="2"/>
                <w:lang w:eastAsia="zh-CN"/>
              </w:rPr>
            </w:pPr>
            <w:r>
              <w:rPr>
                <w:rFonts w:hint="eastAsia" w:ascii="仿宋" w:hAnsi="仿宋" w:eastAsia="仿宋" w:cs="仿宋"/>
                <w:lang w:eastAsia="zh-CN" w:bidi="ar"/>
              </w:rPr>
              <w:t>①部门收支管理按照收支管理制度执行;②收支管理程序明确、清晰。以上2项各占1/2权重分,符合得对应权重分,否则不得分。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现场核查未发现异常情况</w:t>
            </w:r>
            <w:r>
              <w:rPr>
                <w:rStyle w:val="29"/>
                <w:rFonts w:hint="default" w:ascii="仿宋" w:hAnsi="仿宋" w:eastAsia="仿宋" w:cs="仿宋"/>
                <w:kern w:val="2"/>
                <w:sz w:val="24"/>
                <w:szCs w:val="24"/>
                <w:lang w:eastAsia="zh-CN" w:bidi="ar"/>
              </w:rPr>
              <w:t>，</w:t>
            </w:r>
            <w:r>
              <w:rPr>
                <w:rStyle w:val="50"/>
                <w:rFonts w:hint="eastAsia" w:ascii="仿宋" w:hAnsi="仿宋" w:eastAsia="仿宋" w:cs="仿宋"/>
                <w:kern w:val="2"/>
                <w:sz w:val="24"/>
                <w:szCs w:val="24"/>
                <w:lang w:eastAsia="zh-CN" w:bidi="ar"/>
              </w:rPr>
              <w:t>得100</w:t>
            </w:r>
            <w:r>
              <w:rPr>
                <w:rStyle w:val="29"/>
                <w:rFonts w:hint="default" w:ascii="仿宋" w:hAnsi="仿宋" w:eastAsia="仿宋" w:cs="仿宋"/>
                <w:kern w:val="2"/>
                <w:sz w:val="24"/>
                <w:szCs w:val="24"/>
                <w:lang w:eastAsia="zh-CN" w:bidi="ar"/>
              </w:rPr>
              <w:t>%权重分。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r>
      <w:tr>
        <w:tblPrEx>
          <w:tblCellMar>
            <w:top w:w="0" w:type="dxa"/>
            <w:left w:w="0" w:type="dxa"/>
            <w:bottom w:w="0" w:type="dxa"/>
            <w:right w:w="0" w:type="dxa"/>
          </w:tblCellMar>
        </w:tblPrEx>
        <w:trPr>
          <w:cantSplit/>
          <w:trHeight w:val="1341"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B3资产管理（3）</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B31资产管理制度健全性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 xml:space="preserve"> 健全 </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textAlignment w:val="top"/>
              <w:rPr>
                <w:rFonts w:ascii="仿宋" w:hAnsi="仿宋" w:eastAsia="仿宋" w:cs="仿宋"/>
                <w:kern w:val="2"/>
                <w:lang w:eastAsia="zh-CN"/>
              </w:rPr>
            </w:pPr>
            <w:r>
              <w:rPr>
                <w:rFonts w:hint="eastAsia" w:ascii="仿宋" w:hAnsi="仿宋" w:eastAsia="仿宋" w:cs="仿宋"/>
                <w:lang w:eastAsia="zh-CN" w:bidi="ar"/>
              </w:rPr>
              <w:t>①是否有适用的资产管理制度;②相关资产管理制度是否合法、合规、完整;③资产管理制度中对资产配置、资产使用、资产处置、资产清查等方面进行全面规定。以上3项各占1/3权重分,符合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建立了《南京市大数据局固定资产管理办法》，符合相关法律法规要求，涵盖了资产的管辖范围、标准、资产购置、验收、日常管理、处置等内容，得100%权重分。 </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r>
      <w:tr>
        <w:tblPrEx>
          <w:tblCellMar>
            <w:top w:w="0" w:type="dxa"/>
            <w:left w:w="0" w:type="dxa"/>
            <w:bottom w:w="0" w:type="dxa"/>
            <w:right w:w="0" w:type="dxa"/>
          </w:tblCellMar>
        </w:tblPrEx>
        <w:trPr>
          <w:cantSplit/>
          <w:trHeight w:val="833"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B32资产管理规范性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规范</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textAlignment w:val="top"/>
              <w:rPr>
                <w:rFonts w:ascii="仿宋" w:hAnsi="仿宋" w:eastAsia="仿宋" w:cs="仿宋"/>
                <w:kern w:val="2"/>
                <w:lang w:eastAsia="zh-CN"/>
              </w:rPr>
            </w:pPr>
            <w:r>
              <w:rPr>
                <w:rFonts w:hint="eastAsia" w:ascii="仿宋" w:hAnsi="仿宋" w:eastAsia="仿宋" w:cs="仿宋"/>
                <w:lang w:eastAsia="zh-CN" w:bidi="ar"/>
              </w:rPr>
              <w:t>①资产管理按照制度进行配置、使用、处置、清查等;②资产管理有专人负责。以上2项各占1/2权重分,符合得对应权重分,否则不得分。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未发现资产管理存在不规范情况，得100%权重分。 </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341"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B4政府采购管理（3）</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B41政府釆购管理制度健全性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健全</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textAlignment w:val="top"/>
              <w:rPr>
                <w:rFonts w:ascii="仿宋" w:hAnsi="仿宋" w:eastAsia="仿宋" w:cs="仿宋"/>
                <w:kern w:val="2"/>
                <w:lang w:eastAsia="zh-CN"/>
              </w:rPr>
            </w:pPr>
            <w:r>
              <w:rPr>
                <w:rFonts w:hint="eastAsia" w:ascii="仿宋" w:hAnsi="仿宋" w:eastAsia="仿宋" w:cs="仿宋"/>
                <w:lang w:eastAsia="zh-CN" w:bidi="ar"/>
              </w:rPr>
              <w:t>①是否有适用的政府采购管理制度;②相关采购管理制度是否合法、合规、完整;③政府采购管理制度中对采购程序等方面进行全面规定,以上3项各占1/3权重分,符合得对应权重分,否则不得分.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已制定《南京市大数据管理局采购管理暂行办法》，对釆购计划、釆购方式、釆购程序、采购验收、付款、监督等作出了明确规定，得100%权重分。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r>
      <w:tr>
        <w:tblPrEx>
          <w:tblCellMar>
            <w:top w:w="0" w:type="dxa"/>
            <w:left w:w="0" w:type="dxa"/>
            <w:bottom w:w="0" w:type="dxa"/>
            <w:right w:w="0" w:type="dxa"/>
          </w:tblCellMar>
        </w:tblPrEx>
        <w:trPr>
          <w:cantSplit/>
          <w:trHeight w:val="1341"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B42政府采购规范性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规范</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①是否严格按照政府集中采购目录及政府采购限额标准执行;②是否严格按照主管部门及当地政策要求的采购程序执行;③是否按规定签订合同,且明确双方责任,以上3项各占1/3权重分,符合得对应权重分,否则不得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根据核查结果，未发现与制度不符合之处，得100%权重分。 </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r>
      <w:tr>
        <w:tblPrEx>
          <w:tblCellMar>
            <w:top w:w="0" w:type="dxa"/>
            <w:left w:w="0" w:type="dxa"/>
            <w:bottom w:w="0" w:type="dxa"/>
            <w:right w:w="0" w:type="dxa"/>
          </w:tblCellMar>
        </w:tblPrEx>
        <w:trPr>
          <w:cantSplit/>
          <w:trHeight w:val="548"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B5内部控制（3）</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B51内部控制建设情况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健全</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①内容完整；②是否科学合理。以上 2 项各占 1/2 权重分，符合得对应权重分，否则不得分。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内部控制制度建设已健全，得100%权重分。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812"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B52内部控制执行情况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规范</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①是否根据内控制度执行相关决策;②内控执行规范有效。符合得对应权重分,每发现一处不规范，扣20%权重分。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市大数据局根据内控制度执行了相关决策,并提升了决策效果，得100%权重分。 </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812"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B53内部控制监督评价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有效</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是否有单位内控评价报告。对报告及使用情况进行观察。评价到位，结果应用得分，否则酌情扣分。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已形成单位内部控制评价报告，得100%权重分。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85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B6预算绩效管理（4）</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B61组织管理情况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健全</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①有人负责、责任落实；②有制度，并执行到位。以上 2 项各占 1/2 权重分，符合得对应权重分，否则不得分。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有人负责，但责任尚未完全落实尚未制定相关绩效管理制度和指标体系，扣20%权重分。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1.6</w:t>
            </w:r>
          </w:p>
        </w:tc>
      </w:tr>
      <w:tr>
        <w:tblPrEx>
          <w:tblCellMar>
            <w:top w:w="0" w:type="dxa"/>
            <w:left w:w="0" w:type="dxa"/>
            <w:bottom w:w="0" w:type="dxa"/>
            <w:right w:w="0" w:type="dxa"/>
          </w:tblCellMar>
        </w:tblPrEx>
        <w:trPr>
          <w:cantSplit/>
          <w:trHeight w:val="107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B62工作开展情况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有序</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部门工作(政策或项目)是否分事前评估、目标管理、跟踪评价、自评价和整改落实5个阶段。以上5项各占1/5权重分,符合得对应权重分,否则不得分。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2022年按照市财政局要求开展绩效管理工作，其中目标管理工作存在瑕疵，扣25%权重分。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0.75</w:t>
            </w:r>
          </w:p>
        </w:tc>
      </w:tr>
      <w:tr>
        <w:tblPrEx>
          <w:tblCellMar>
            <w:top w:w="0" w:type="dxa"/>
            <w:left w:w="0" w:type="dxa"/>
            <w:bottom w:w="0" w:type="dxa"/>
            <w:right w:w="0" w:type="dxa"/>
          </w:tblCellMar>
        </w:tblPrEx>
        <w:trPr>
          <w:cantSplit/>
          <w:trHeight w:val="1077"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rPr>
            </w:pPr>
            <w:r>
              <w:rPr>
                <w:rFonts w:hint="eastAsia" w:ascii="仿宋" w:hAnsi="仿宋" w:eastAsia="仿宋" w:cs="仿宋"/>
                <w:lang w:eastAsia="zh-CN" w:bidi="ar"/>
              </w:rPr>
              <w:t>B63绩效信息公开</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公开</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lang w:eastAsia="zh-CN" w:bidi="ar"/>
              </w:rPr>
              <w:t xml:space="preserve"> ①部门绩效信息在江苏省预决算公开统一平台和都门门户网站公开;②按规定时限公开部门绩效信息。以上2项各占1/2权重分，符合得对应权重分,否则不得分。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lang w:eastAsia="zh-CN" w:bidi="ar"/>
              </w:rPr>
              <w:t>已按要求公开绩效目标信息，得100%权重分。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w:t>
            </w:r>
          </w:p>
        </w:tc>
      </w:tr>
      <w:tr>
        <w:tblPrEx>
          <w:tblCellMar>
            <w:top w:w="0" w:type="dxa"/>
            <w:left w:w="0" w:type="dxa"/>
            <w:bottom w:w="0" w:type="dxa"/>
            <w:right w:w="0" w:type="dxa"/>
          </w:tblCellMar>
        </w:tblPrEx>
        <w:trPr>
          <w:cantSplit/>
          <w:trHeight w:val="2053" w:hRule="atLeast"/>
          <w:jc w:val="center"/>
        </w:trPr>
        <w:tc>
          <w:tcPr>
            <w:tcW w:w="83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r>
              <w:rPr>
                <w:rFonts w:hint="eastAsia" w:ascii="仿宋" w:hAnsi="仿宋" w:eastAsia="仿宋" w:cs="仿宋"/>
                <w:lang w:eastAsia="zh-CN" w:bidi="ar"/>
              </w:rPr>
              <w:t>C部门履职（30分）</w:t>
            </w:r>
          </w:p>
        </w:tc>
        <w:tc>
          <w:tcPr>
            <w:tcW w:w="81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C1政务数据管理    (5)</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C11数据中心一体化</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显著提升</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①对数据中心梳理普查的情况；②数据中心一体化的提升情况。以上2项各占1/2权重分，完成得对应权重分,否则不得分。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该绩效目标与项目目标任务不对应，扣50%权重分。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0.5</w:t>
            </w:r>
          </w:p>
        </w:tc>
      </w:tr>
      <w:tr>
        <w:tblPrEx>
          <w:tblCellMar>
            <w:top w:w="0" w:type="dxa"/>
            <w:left w:w="0" w:type="dxa"/>
            <w:bottom w:w="0" w:type="dxa"/>
            <w:right w:w="0" w:type="dxa"/>
          </w:tblCellMar>
        </w:tblPrEx>
        <w:trPr>
          <w:cantSplit/>
          <w:trHeight w:val="2134"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C12在建项目推进率</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=100%</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在建项目推进率=实际完成工作量/计划工作量*100%</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在建项目推进率达到100%，得10分；否则得分=推进率*10分。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lang w:eastAsia="zh-CN"/>
              </w:rPr>
            </w:pPr>
            <w:r>
              <w:rPr>
                <w:rFonts w:hint="eastAsia" w:ascii="仿宋" w:hAnsi="仿宋" w:eastAsia="仿宋" w:cs="仿宋"/>
                <w:kern w:val="2"/>
                <w:lang w:eastAsia="zh-CN" w:bidi="ar"/>
              </w:rPr>
              <w:t>该项目的工作成果已于2022年5月27日经专家组讨论一致同意通过验收，得100%权重分。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 xml:space="preserve">C13课题完成率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=100%</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课题完成率=实际完成工作量</w:t>
            </w:r>
            <w:r>
              <w:rPr>
                <w:rFonts w:ascii="仿宋" w:hAnsi="仿宋" w:eastAsia="仿宋" w:cs="仿宋"/>
                <w:kern w:val="2"/>
                <w:lang w:eastAsia="zh-CN" w:bidi="ar"/>
              </w:rPr>
              <w:t>/</w:t>
            </w:r>
            <w:r>
              <w:rPr>
                <w:rFonts w:hint="eastAsia" w:ascii="仿宋" w:hAnsi="仿宋" w:eastAsia="仿宋" w:cs="仿宋"/>
                <w:kern w:val="2"/>
                <w:lang w:eastAsia="zh-CN" w:bidi="ar"/>
              </w:rPr>
              <w:t>计划完成工作量</w:t>
            </w:r>
            <w:r>
              <w:rPr>
                <w:rFonts w:ascii="仿宋" w:hAnsi="仿宋" w:eastAsia="仿宋" w:cs="仿宋"/>
                <w:kern w:val="2"/>
                <w:lang w:eastAsia="zh-CN" w:bidi="ar"/>
              </w:rPr>
              <w:t xml:space="preserve"> * 100%</w:t>
            </w:r>
          </w:p>
          <w:p>
            <w:pPr>
              <w:widowControl/>
              <w:jc w:val="both"/>
              <w:textAlignment w:val="center"/>
              <w:rPr>
                <w:rFonts w:ascii="仿宋" w:hAnsi="仿宋" w:eastAsia="仿宋" w:cs="仿宋"/>
                <w:kern w:val="2"/>
                <w:lang w:eastAsia="zh-CN" w:bidi="ar"/>
              </w:rPr>
            </w:pPr>
            <w:r>
              <w:rPr>
                <w:rFonts w:hint="eastAsia" w:ascii="Calibri" w:hAnsi="Calibri" w:eastAsia="仿宋"/>
                <w:kern w:val="2"/>
                <w:lang w:eastAsia="zh-CN" w:bidi="ar"/>
              </w:rPr>
              <w:t>课题完成率达到100%，得10分；否则得分=完成率*10分。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lang w:eastAsia="zh-CN"/>
              </w:rPr>
            </w:pPr>
            <w:r>
              <w:rPr>
                <w:rFonts w:hint="eastAsia" w:ascii="仿宋" w:hAnsi="仿宋" w:eastAsia="仿宋" w:cs="仿宋"/>
                <w:kern w:val="2"/>
                <w:lang w:eastAsia="zh-CN" w:bidi="ar"/>
              </w:rPr>
              <w:t>该绩效目标与项目目标任务不对应，扣50%权重分。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ascii="仿宋" w:hAnsi="仿宋" w:eastAsia="仿宋" w:cs="仿宋"/>
                <w:kern w:val="2"/>
                <w:lang w:eastAsia="zh-CN"/>
              </w:rPr>
              <w:t>0.5</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C14</w:t>
            </w:r>
            <w:r>
              <w:rPr>
                <w:rFonts w:ascii="仿宋" w:hAnsi="仿宋" w:eastAsia="仿宋" w:cs="仿宋"/>
                <w:kern w:val="2"/>
                <w:lang w:eastAsia="zh-CN" w:bidi="ar"/>
              </w:rPr>
              <w:t xml:space="preserve"> </w:t>
            </w:r>
            <w:r>
              <w:rPr>
                <w:rFonts w:hint="eastAsia" w:ascii="仿宋" w:hAnsi="仿宋" w:eastAsia="仿宋" w:cs="仿宋"/>
                <w:kern w:val="2"/>
                <w:lang w:eastAsia="zh-CN" w:bidi="ar"/>
              </w:rPr>
              <w:t>项目成果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验收成果</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①全面深入梳理全市政务数据资源的情况；</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②编制全市政务数据目录的情况；</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③编制三定职责数据清单和数据供需清单的情况；</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④分析评估并形成相关报告的情况。以上4项各占1/4权重分，完成得对应权重分,否则不得分。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lang w:eastAsia="zh-CN"/>
              </w:rPr>
            </w:pPr>
            <w:r>
              <w:rPr>
                <w:rFonts w:hint="eastAsia" w:ascii="仿宋" w:hAnsi="仿宋" w:eastAsia="仿宋" w:cs="仿宋"/>
                <w:kern w:val="2"/>
                <w:lang w:eastAsia="zh-CN" w:bidi="ar"/>
              </w:rPr>
              <w:t>该项目的工作成果已于2022年5月27日经专家组讨论一致同意通过验收，得100%权重分。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2</w:t>
            </w:r>
          </w:p>
        </w:tc>
      </w:tr>
      <w:tr>
        <w:tblPrEx>
          <w:tblCellMar>
            <w:top w:w="0" w:type="dxa"/>
            <w:left w:w="0" w:type="dxa"/>
            <w:bottom w:w="0" w:type="dxa"/>
            <w:right w:w="0" w:type="dxa"/>
          </w:tblCellMar>
        </w:tblPrEx>
        <w:trPr>
          <w:cantSplit/>
          <w:trHeight w:val="1605"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C2数据安全保障工作完成情况(4)</w:t>
            </w:r>
            <w:r>
              <w:rPr>
                <w:rFonts w:hint="eastAsia" w:ascii="仿宋" w:hAnsi="仿宋" w:eastAsia="仿宋" w:cs="仿宋"/>
                <w:lang w:eastAsia="zh-CN" w:bidi="ar"/>
              </w:rPr>
              <w:t>)</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C21制定数据全年度工作安排</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r>
              <w:rPr>
                <w:rFonts w:hint="eastAsia" w:ascii="仿宋" w:hAnsi="仿宋" w:eastAsia="仿宋" w:cs="仿宋"/>
                <w:kern w:val="2"/>
                <w:lang w:eastAsia="zh-CN" w:bidi="ar"/>
              </w:rPr>
              <w:t>完成年度工作安排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①制定数据安全全年度工作安排；②相关工作设置合理、时间节点合理规划。 以上2项各占1/2权重，符合则得分，否则酌情扣除权重分。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highlight w:val="yellow"/>
                <w:lang w:eastAsia="zh-CN"/>
              </w:rPr>
            </w:pPr>
            <w:r>
              <w:rPr>
                <w:rFonts w:hint="eastAsia" w:ascii="仿宋" w:hAnsi="仿宋" w:eastAsia="仿宋" w:cs="仿宋"/>
                <w:kern w:val="2"/>
                <w:lang w:eastAsia="zh-CN"/>
              </w:rPr>
              <w:t>已制定数据安全2022年度工作安排，</w:t>
            </w:r>
            <w:r>
              <w:rPr>
                <w:rFonts w:hint="eastAsia" w:ascii="仿宋" w:hAnsi="仿宋" w:eastAsia="仿宋" w:cs="仿宋"/>
                <w:kern w:val="2"/>
                <w:lang w:val="en-US" w:eastAsia="zh-CN"/>
              </w:rPr>
              <w:t>列示具体工作计划。得100%权重分。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lang w:eastAsia="zh-CN"/>
              </w:rPr>
            </w:pPr>
            <w:r>
              <w:rPr>
                <w:rFonts w:hint="eastAsia" w:ascii="仿宋" w:hAnsi="仿宋" w:eastAsia="仿宋" w:cs="仿宋"/>
                <w:kern w:val="2"/>
                <w:lang w:val="en-US" w:eastAsia="zh-CN"/>
              </w:rPr>
              <w:t>1</w:t>
            </w:r>
          </w:p>
        </w:tc>
      </w:tr>
      <w:tr>
        <w:tblPrEx>
          <w:tblCellMar>
            <w:top w:w="0" w:type="dxa"/>
            <w:left w:w="0" w:type="dxa"/>
            <w:bottom w:w="0" w:type="dxa"/>
            <w:right w:w="0" w:type="dxa"/>
          </w:tblCellMar>
        </w:tblPrEx>
        <w:trPr>
          <w:cantSplit/>
          <w:trHeight w:val="1870"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C22通过数据安全建设工作，加强我局数据安全保障能力，推动政务数据服务效率</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按照年度工作计划，积极完成全年工作安排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①</w:t>
            </w:r>
            <w:r>
              <w:rPr>
                <w:rFonts w:hint="eastAsia" w:ascii="仿宋" w:hAnsi="仿宋" w:eastAsia="仿宋" w:cs="仿宋"/>
                <w:kern w:val="2"/>
                <w:lang w:eastAsia="zh-CN"/>
              </w:rPr>
              <w:t>加强大数据局数据安全保障能力</w:t>
            </w:r>
            <w:r>
              <w:rPr>
                <w:rFonts w:hint="eastAsia" w:ascii="仿宋" w:hAnsi="仿宋" w:eastAsia="仿宋" w:cs="仿宋"/>
                <w:kern w:val="2"/>
                <w:lang w:eastAsia="zh-CN" w:bidi="ar"/>
              </w:rPr>
              <w:t>；②推动政务数据服务效率。 以上2项各占1/2权重，符合则得分，否则酌情扣除权重分。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highlight w:val="yellow"/>
              </w:rPr>
            </w:pPr>
            <w:r>
              <w:rPr>
                <w:rFonts w:hint="eastAsia" w:ascii="仿宋" w:hAnsi="仿宋" w:eastAsia="仿宋" w:cs="仿宋"/>
                <w:kern w:val="2"/>
                <w:lang w:eastAsia="zh-CN" w:bidi="ar"/>
              </w:rPr>
              <w:t>①</w:t>
            </w:r>
            <w:r>
              <w:rPr>
                <w:rFonts w:hint="eastAsia" w:ascii="仿宋" w:hAnsi="仿宋" w:eastAsia="仿宋" w:cs="仿宋"/>
                <w:kern w:val="2"/>
                <w:lang w:eastAsia="zh-CN"/>
              </w:rPr>
              <w:t>提升了全市各部门信息系统数据安全保障能力；</w:t>
            </w:r>
            <w:r>
              <w:rPr>
                <w:rFonts w:hint="eastAsia" w:ascii="仿宋" w:hAnsi="仿宋" w:eastAsia="仿宋" w:cs="仿宋"/>
                <w:kern w:val="2"/>
                <w:lang w:eastAsia="zh-CN" w:bidi="ar"/>
              </w:rPr>
              <w:t>②</w:t>
            </w:r>
            <w:r>
              <w:rPr>
                <w:rFonts w:hint="eastAsia" w:ascii="仿宋" w:hAnsi="仿宋" w:eastAsia="仿宋" w:cs="仿宋"/>
                <w:kern w:val="2"/>
                <w:lang w:eastAsia="zh-CN"/>
              </w:rPr>
              <w:t>提升了重要政务信息系统数据安全防范能力。</w:t>
            </w:r>
            <w:r>
              <w:rPr>
                <w:rFonts w:hint="eastAsia" w:ascii="仿宋" w:hAnsi="仿宋" w:eastAsia="仿宋" w:cs="仿宋"/>
                <w:kern w:val="2"/>
                <w:lang w:eastAsia="zh-CN" w:bidi="ar"/>
              </w:rPr>
              <w:t>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341"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C23按照年度工作安排和文件要求，完成各项工作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按照工作安排和文件要求完成各项工作</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数据安全工作2022年实际开展情况。按照工作安排和文件要求完成各项工作，否则酌情扣分。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2"/>
                <w:highlight w:val="yellow"/>
                <w:lang w:eastAsia="zh-CN"/>
              </w:rPr>
            </w:pPr>
            <w:r>
              <w:rPr>
                <w:rFonts w:hint="eastAsia" w:ascii="仿宋" w:hAnsi="仿宋" w:eastAsia="仿宋" w:cs="仿宋"/>
                <w:kern w:val="2"/>
                <w:lang w:eastAsia="zh-CN" w:bidi="ar"/>
              </w:rPr>
              <w:t>①</w:t>
            </w:r>
            <w:r>
              <w:rPr>
                <w:rFonts w:hint="eastAsia" w:ascii="仿宋" w:hAnsi="仿宋" w:eastAsia="仿宋" w:cs="仿宋"/>
                <w:kern w:val="2"/>
                <w:lang w:eastAsia="zh-CN"/>
              </w:rPr>
              <w:t>完善政务信息化项目可研报告中数据安全章节编制的五个方面的具体要求，并对全市108个系统的可研报告进行审核；②开展政务信息化项目数据安全风险评估；③开展市政务外网LRA分中心系统安全运维工作。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auto"/>
                <w:kern w:val="2"/>
                <w:highlight w:val="yellow"/>
                <w:lang w:eastAsia="zh-CN"/>
              </w:rPr>
            </w:pPr>
            <w:r>
              <w:rPr>
                <w:rFonts w:hint="eastAsia" w:ascii="仿宋" w:hAnsi="仿宋" w:eastAsia="仿宋" w:cs="仿宋"/>
                <w:color w:val="auto"/>
                <w:kern w:val="2"/>
                <w:lang w:eastAsia="zh-CN"/>
              </w:rPr>
              <w:t>1</w:t>
            </w:r>
          </w:p>
        </w:tc>
      </w:tr>
      <w:tr>
        <w:tblPrEx>
          <w:tblCellMar>
            <w:top w:w="0" w:type="dxa"/>
            <w:left w:w="0" w:type="dxa"/>
            <w:bottom w:w="0" w:type="dxa"/>
            <w:right w:w="0" w:type="dxa"/>
          </w:tblCellMar>
        </w:tblPrEx>
        <w:trPr>
          <w:cantSplit/>
          <w:trHeight w:val="833"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C24按照年度工作安排完成各项工作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按照年度工作安排时间节点完成各项工作</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上述工作是否按年初工作计划在规定时间完成，完成得权重分，否则酌情扣除权重分。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工作进度符合年初工作计划要求，得100%权重分。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bidi="ar"/>
              </w:rPr>
            </w:pPr>
            <w:r>
              <w:rPr>
                <w:rFonts w:hint="eastAsia" w:ascii="仿宋" w:hAnsi="仿宋" w:eastAsia="仿宋" w:cs="仿宋"/>
                <w:kern w:val="2"/>
                <w:lang w:eastAsia="zh-CN" w:bidi="ar"/>
              </w:rPr>
              <w:t>C3数据标准、规范工作完成情况（8）</w:t>
            </w:r>
          </w:p>
          <w:p>
            <w:pPr>
              <w:widowControl/>
              <w:jc w:val="center"/>
              <w:textAlignment w:val="center"/>
              <w:rPr>
                <w:rFonts w:ascii="仿宋" w:hAnsi="仿宋" w:eastAsia="仿宋" w:cs="仿宋"/>
                <w:kern w:val="2"/>
                <w:highlight w:val="yellow"/>
                <w:lang w:eastAsia="zh-CN"/>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C31制定大数据法规及标准化相关年度工作安排,完成各项工作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r>
              <w:rPr>
                <w:rFonts w:hint="eastAsia" w:ascii="仿宋" w:hAnsi="仿宋" w:eastAsia="仿宋" w:cs="仿宋"/>
                <w:kern w:val="2"/>
                <w:lang w:eastAsia="zh-CN" w:bidi="ar"/>
              </w:rPr>
              <w:t>完成年度工作安排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highlight w:val="yellow"/>
                <w:lang w:eastAsia="zh-CN"/>
              </w:rPr>
            </w:pPr>
            <w:r>
              <w:rPr>
                <w:rFonts w:hint="eastAsia" w:ascii="仿宋" w:hAnsi="仿宋" w:eastAsia="仿宋" w:cs="仿宋"/>
                <w:kern w:val="2"/>
                <w:lang w:eastAsia="zh-CN" w:bidi="ar"/>
              </w:rPr>
              <w:t>①制定大数据法规及标准化全年度工作安排；②相关工作设置合理、时间节点合理规划。 以上2项各占1/2权重，符合则得分，否则酌情扣除权重分。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highlight w:val="yellow"/>
                <w:lang w:eastAsia="zh-CN"/>
              </w:rPr>
            </w:pPr>
            <w:r>
              <w:rPr>
                <w:rFonts w:hint="eastAsia" w:ascii="仿宋" w:hAnsi="仿宋" w:eastAsia="仿宋" w:cs="仿宋"/>
                <w:kern w:val="2"/>
                <w:lang w:eastAsia="zh-CN"/>
              </w:rPr>
              <w:t>已制定大数据法规及标准化2022年度工作安排，</w:t>
            </w:r>
            <w:r>
              <w:rPr>
                <w:rFonts w:hint="eastAsia" w:ascii="仿宋" w:hAnsi="仿宋" w:eastAsia="仿宋" w:cs="仿宋"/>
                <w:kern w:val="2"/>
                <w:lang w:val="en-US" w:eastAsia="zh-CN"/>
              </w:rPr>
              <w:t>部分绩效目标的设置与项目任务不契合</w:t>
            </w:r>
            <w:r>
              <w:rPr>
                <w:rFonts w:hint="eastAsia" w:ascii="仿宋" w:hAnsi="仿宋" w:eastAsia="仿宋" w:cs="仿宋"/>
                <w:kern w:val="2"/>
                <w:lang w:eastAsia="zh-CN"/>
              </w:rPr>
              <w:t>，扣25%权重分。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lang w:eastAsia="zh-CN"/>
              </w:rPr>
            </w:pPr>
            <w:r>
              <w:rPr>
                <w:rFonts w:hint="eastAsia" w:ascii="仿宋" w:hAnsi="仿宋" w:eastAsia="仿宋" w:cs="仿宋"/>
                <w:kern w:val="2"/>
                <w:lang w:eastAsia="zh-CN"/>
              </w:rPr>
              <w:t>0.75</w:t>
            </w:r>
          </w:p>
        </w:tc>
      </w:tr>
      <w:tr>
        <w:tblPrEx>
          <w:tblCellMar>
            <w:top w:w="0" w:type="dxa"/>
            <w:left w:w="0" w:type="dxa"/>
            <w:bottom w:w="0" w:type="dxa"/>
            <w:right w:w="0" w:type="dxa"/>
          </w:tblCellMar>
        </w:tblPrEx>
        <w:trPr>
          <w:cantSplit/>
          <w:trHeight w:val="1679"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C32贯彻落实《数据安全法》和《个人信息保护法》，提升依法行政水平，更好服务大数据发展战略和智慧城市建设</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按照年度工作计划，积极完成全年工作安排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kern w:val="2"/>
                <w:lang w:eastAsia="zh-CN" w:bidi="ar"/>
              </w:rPr>
              <w:t>大数据法律法规及标准化工作2022年实际开展情况。规划并推进工作实质进展得权重分，否则酌情扣分。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rPr>
              <w:t>①对各类规范性文件、管理办法和各类合同进行合法性审查并提出反馈意见252件;②开展《法人主数据规范》编制工作，作为南京市地方标准发布，提升数据的准确性、完整性和可扩展性，使治理完的数据能够满足多部门需求。</w:t>
            </w:r>
            <w:r>
              <w:rPr>
                <w:rFonts w:hint="eastAsia" w:ascii="仿宋" w:hAnsi="仿宋" w:eastAsia="仿宋" w:cs="仿宋"/>
                <w:kern w:val="2"/>
                <w:lang w:eastAsia="zh-CN" w:bidi="ar"/>
              </w:rPr>
              <w:t>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C33根据年度工作安排完成各项工作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按照年度工作安排时间节点完成各项工作</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上述重点工作是否按年初工作计划在规定时间完成，完成得权重分，否则酌情扣除权重分。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工作进度符合年初工作计划要求，得100%权重分。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C34按照国家省市相关法规和标准要求，开展相关工作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按照工作安排和文件要求完成各项工作</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上述重点工作是否按按照国家省市相关法规和标准要求完成，完成得权重分，否则酌情扣除权重分。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上述工作均按照国家省市相关法规和标准要求完成，得100%权重分。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restart"/>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C35根据局和信息中心项目建设安排,针对重要系统进行内审</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依据项目建设情况,完成年度内审工作安排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①制定政务信息化项目内审全年度工作安排；②相关工作设置合理、时间节点合理规划。 以上2项各占1/2权重，符合则得分，否则酌情扣除权重分。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lang w:eastAsia="zh-CN"/>
              </w:rPr>
            </w:pPr>
            <w:r>
              <w:rPr>
                <w:rFonts w:hint="eastAsia" w:ascii="仿宋" w:hAnsi="仿宋" w:eastAsia="仿宋" w:cs="仿宋"/>
                <w:kern w:val="2"/>
                <w:lang w:eastAsia="zh-CN"/>
              </w:rPr>
              <w:t>已制定</w:t>
            </w:r>
            <w:r>
              <w:rPr>
                <w:rFonts w:hint="eastAsia" w:ascii="仿宋" w:hAnsi="仿宋" w:eastAsia="仿宋" w:cs="仿宋"/>
                <w:kern w:val="2"/>
                <w:lang w:eastAsia="zh-CN" w:bidi="ar"/>
              </w:rPr>
              <w:t>政务信息化</w:t>
            </w:r>
            <w:r>
              <w:rPr>
                <w:rFonts w:hint="eastAsia" w:ascii="仿宋" w:hAnsi="仿宋" w:eastAsia="仿宋" w:cs="仿宋"/>
                <w:kern w:val="2"/>
                <w:lang w:eastAsia="zh-CN"/>
              </w:rPr>
              <w:t>项目内审2022年度工作安排，</w:t>
            </w:r>
            <w:r>
              <w:rPr>
                <w:rFonts w:hint="eastAsia" w:ascii="仿宋" w:hAnsi="仿宋" w:eastAsia="仿宋" w:cs="仿宋"/>
                <w:kern w:val="2"/>
                <w:lang w:val="en-US" w:eastAsia="zh-CN"/>
              </w:rPr>
              <w:t>列示具体工作计划。得100%权重分。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val="en-US"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C36通过内审，对项目经费使用情况进行评估，提升资金使用效益，规范项目建设管理</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依据项目建设情况，完成年度内审工作安排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rPr>
            </w:pPr>
            <w:r>
              <w:rPr>
                <w:rFonts w:hint="eastAsia" w:ascii="仿宋" w:hAnsi="仿宋" w:eastAsia="仿宋" w:cs="仿宋"/>
                <w:kern w:val="2"/>
                <w:lang w:eastAsia="zh-CN" w:bidi="ar"/>
              </w:rPr>
              <w:t>政务信息化项目内审工作2022年实际开展情况。规划并推进工作实质进展得权重分，否则酌情扣分。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通过内审工作加强内审监督，提高财政资金使用效益，得100%权重分。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C37按照国家、省、市内审工作相关法规文件要求，做好相关工作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根据项目建设进度出具相应阶段的审计报告</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①按照国家、省、市内审工作相关法规文件要求开展内审工作；②根据项目建设进度出具相应阶段的审计报告。</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rPr>
              <w:t>开展南京市进口冷链食品及从业人员监管平台、“我的南京”政务版信息化项目、北斗网格数据图基础平台项目的内部审计工作，并按进度要求出具审计报告</w:t>
            </w:r>
            <w:r>
              <w:rPr>
                <w:rFonts w:hint="eastAsia" w:ascii="仿宋" w:hAnsi="仿宋" w:eastAsia="仿宋" w:cs="仿宋"/>
                <w:kern w:val="2"/>
                <w:lang w:eastAsia="zh-CN" w:bidi="ar"/>
              </w:rPr>
              <w:t>，得100%权重分。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C38根据项目建设进展情况，做好各阶段跟踪审计工作</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根据项目建设进度，完成相应阶段内审安排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根据项目建设进展情况，做好各阶段跟踪审计工作。</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审计工作进度符合项目建设进度要求，得100%权重分。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973"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auto"/>
                <w:kern w:val="2"/>
              </w:rPr>
            </w:pPr>
            <w:r>
              <w:rPr>
                <w:rFonts w:hint="eastAsia" w:ascii="仿宋" w:hAnsi="仿宋" w:eastAsia="仿宋" w:cs="仿宋"/>
                <w:color w:val="auto"/>
                <w:kern w:val="2"/>
                <w:lang w:eastAsia="zh-CN" w:bidi="ar"/>
              </w:rPr>
              <w:t>C4政府网站管理（5）</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2"/>
                <w:lang w:eastAsia="zh-CN" w:bidi="ar"/>
              </w:rPr>
            </w:pPr>
            <w:r>
              <w:rPr>
                <w:rFonts w:hint="eastAsia" w:ascii="仿宋" w:hAnsi="仿宋" w:eastAsia="仿宋" w:cs="仿宋"/>
                <w:color w:val="auto"/>
                <w:kern w:val="2"/>
                <w:lang w:eastAsia="zh-CN" w:bidi="ar"/>
              </w:rPr>
              <w:t>C41经费支出时效性</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按照合同要求支付经费</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color w:val="auto"/>
                <w:kern w:val="2"/>
                <w:lang w:eastAsia="zh-CN" w:bidi="ar"/>
              </w:rPr>
            </w:pPr>
            <w:r>
              <w:rPr>
                <w:rFonts w:hint="eastAsia" w:ascii="仿宋" w:hAnsi="仿宋" w:eastAsia="仿宋" w:cs="仿宋"/>
                <w:color w:val="auto"/>
                <w:kern w:val="2"/>
                <w:lang w:eastAsia="zh-CN" w:bidi="ar"/>
              </w:rPr>
              <w:t>①服务内容、质量是否符合合同及招标要求，是否满足付款条件；</w:t>
            </w:r>
          </w:p>
          <w:p>
            <w:pPr>
              <w:rPr>
                <w:rFonts w:eastAsia="仿宋"/>
                <w:lang w:eastAsia="zh-CN"/>
              </w:rPr>
            </w:pPr>
            <w:r>
              <w:rPr>
                <w:rFonts w:hint="eastAsia" w:eastAsia="仿宋"/>
                <w:lang w:eastAsia="zh-CN"/>
              </w:rPr>
              <w:t>②支付经费的金额、时间是否符合合同要求。</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以上1项各占1/2权重，符合则得分，否则酌情扣除权重分。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2022年已按照合同要求支付经费，得100%权重分。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color w:val="auto"/>
                <w:kern w:val="2"/>
                <w:lang w:eastAsia="zh-CN"/>
              </w:rPr>
              <w:t>2</w:t>
            </w:r>
          </w:p>
        </w:tc>
      </w:tr>
      <w:tr>
        <w:tblPrEx>
          <w:tblCellMar>
            <w:top w:w="0" w:type="dxa"/>
            <w:left w:w="0" w:type="dxa"/>
            <w:bottom w:w="0" w:type="dxa"/>
            <w:right w:w="0" w:type="dxa"/>
          </w:tblCellMar>
        </w:tblPrEx>
        <w:trPr>
          <w:cantSplit/>
          <w:trHeight w:val="1341"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auto"/>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2"/>
                <w:lang w:eastAsia="zh-CN" w:bidi="ar"/>
              </w:rPr>
            </w:pPr>
            <w:r>
              <w:rPr>
                <w:rFonts w:hint="eastAsia" w:ascii="仿宋" w:hAnsi="仿宋" w:eastAsia="仿宋" w:cs="仿宋"/>
                <w:color w:val="auto"/>
                <w:kern w:val="2"/>
                <w:lang w:eastAsia="zh-CN" w:bidi="ar"/>
              </w:rPr>
              <w:t>C42监测评估政府网站主办单位的数量</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≥100家</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评估政府网站主办单位监测数量≥100家；≥100家得权重分，否则酌情扣除权重分。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该项工作在2022年评估政府网站主办单位监测数量101家，得100%权重分</w:t>
            </w:r>
            <w:r>
              <w:rPr>
                <w:rFonts w:hint="eastAsia" w:ascii="仿宋" w:hAnsi="仿宋" w:eastAsia="仿宋" w:cs="仿宋"/>
                <w:color w:val="auto"/>
                <w:kern w:val="2"/>
                <w:lang w:eastAsia="zh-CN"/>
              </w:rPr>
              <w:t>。</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color w:val="auto"/>
                <w:kern w:val="2"/>
                <w:lang w:eastAsia="zh-CN"/>
              </w:rPr>
              <w:t>1</w:t>
            </w:r>
          </w:p>
        </w:tc>
      </w:tr>
      <w:tr>
        <w:tblPrEx>
          <w:tblCellMar>
            <w:top w:w="0" w:type="dxa"/>
            <w:left w:w="0" w:type="dxa"/>
            <w:bottom w:w="0" w:type="dxa"/>
            <w:right w:w="0" w:type="dxa"/>
          </w:tblCellMar>
        </w:tblPrEx>
        <w:trPr>
          <w:cantSplit/>
          <w:trHeight w:val="3012"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2"/>
                <w:lang w:eastAsia="zh-CN" w:bidi="ar"/>
              </w:rPr>
            </w:pPr>
            <w:r>
              <w:rPr>
                <w:rFonts w:hint="eastAsia" w:ascii="仿宋" w:hAnsi="仿宋" w:eastAsia="仿宋" w:cs="仿宋"/>
                <w:color w:val="auto"/>
                <w:kern w:val="2"/>
                <w:lang w:eastAsia="zh-CN" w:bidi="ar"/>
              </w:rPr>
              <w:t>C43加强网站群基数监测能力的评估，利用技术手段提升全市政府网站主办单位的内容安全保障能力</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按照年度工作计划，积极完成全年工作安排</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color w:val="auto"/>
                <w:kern w:val="2"/>
                <w:lang w:eastAsia="zh-CN" w:bidi="ar"/>
              </w:rPr>
            </w:pPr>
            <w:r>
              <w:rPr>
                <w:rFonts w:hint="eastAsia" w:ascii="仿宋" w:hAnsi="仿宋" w:eastAsia="仿宋" w:cs="仿宋"/>
                <w:color w:val="auto"/>
                <w:kern w:val="2"/>
                <w:lang w:eastAsia="zh-CN" w:bidi="ar"/>
              </w:rPr>
              <w:t>①是否按照工作内容合理制定年度工作计划；</w:t>
            </w:r>
          </w:p>
          <w:p>
            <w:pPr>
              <w:widowControl/>
              <w:jc w:val="both"/>
              <w:textAlignment w:val="center"/>
              <w:rPr>
                <w:rFonts w:ascii="仿宋" w:hAnsi="仿宋" w:eastAsia="仿宋" w:cs="仿宋"/>
                <w:color w:val="auto"/>
                <w:kern w:val="2"/>
                <w:lang w:eastAsia="zh-CN" w:bidi="ar"/>
              </w:rPr>
            </w:pPr>
            <w:r>
              <w:rPr>
                <w:rFonts w:hint="eastAsia" w:ascii="仿宋" w:hAnsi="仿宋" w:eastAsia="仿宋" w:cs="仿宋"/>
                <w:color w:val="auto"/>
                <w:kern w:val="2"/>
                <w:lang w:eastAsia="zh-CN" w:bidi="ar"/>
              </w:rPr>
              <w:t>②网站群基数监测能力的评估工作是否按年初工作计划在规定时间完成；</w:t>
            </w:r>
          </w:p>
          <w:p>
            <w:pPr>
              <w:widowControl/>
              <w:jc w:val="both"/>
              <w:textAlignment w:val="center"/>
              <w:rPr>
                <w:rFonts w:ascii="仿宋" w:hAnsi="仿宋" w:eastAsia="仿宋" w:cs="仿宋"/>
                <w:kern w:val="2"/>
                <w:lang w:eastAsia="zh-CN" w:bidi="ar"/>
              </w:rPr>
            </w:pPr>
            <w:r>
              <w:rPr>
                <w:rFonts w:ascii="仿宋" w:hAnsi="仿宋" w:eastAsia="仿宋" w:cs="仿宋"/>
                <w:color w:val="auto"/>
                <w:kern w:val="2"/>
                <w:lang w:eastAsia="zh-CN" w:bidi="ar"/>
              </w:rPr>
              <w:t>③</w:t>
            </w:r>
            <w:r>
              <w:rPr>
                <w:rFonts w:hint="eastAsia" w:ascii="仿宋" w:hAnsi="仿宋" w:eastAsia="仿宋" w:cs="仿宋"/>
                <w:kern w:val="2"/>
                <w:lang w:eastAsia="zh-CN" w:bidi="ar"/>
              </w:rPr>
              <w:t>是否进一步完善数据安全保障体系，加强对相关平台的安全监管保障能力；</w:t>
            </w:r>
          </w:p>
          <w:p>
            <w:pPr>
              <w:widowControl/>
              <w:jc w:val="both"/>
              <w:textAlignment w:val="center"/>
              <w:rPr>
                <w:rFonts w:ascii="仿宋" w:hAnsi="仿宋" w:eastAsia="仿宋" w:cs="仿宋"/>
                <w:color w:val="auto"/>
                <w:kern w:val="2"/>
                <w:lang w:eastAsia="zh-CN" w:bidi="ar"/>
              </w:rPr>
            </w:pPr>
            <w:r>
              <w:rPr>
                <w:rFonts w:hint="eastAsia" w:ascii="仿宋" w:hAnsi="仿宋" w:eastAsia="仿宋" w:cs="仿宋"/>
                <w:color w:val="auto"/>
                <w:kern w:val="2"/>
                <w:lang w:eastAsia="zh-CN" w:bidi="ar"/>
              </w:rPr>
              <w:t>④全市政府网站主办单位的内容安全保障能力是否得到提升。</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完成得权重分，否则酌情扣除权重分。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2022年推动“南京的我”小程序改版升级工作。“南京的我”小程序与“我的南京”APP共同构成南京市城市智能门户服务体系。共编写报送《人工智能助力信息安全管控，“三道关口”严守网站内容安全》《“数据洞察服务平台”助力政府网站运营管理》等五个案例。重点从网站平台安全和内容安全两个方面进行分析，形成政府网站领域意识形态月度研判报告。2022年度工作计划披露了重点工作内容，未能制定明确的具体目标或预期效果，酌情扣除25%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color w:val="auto"/>
                <w:kern w:val="2"/>
                <w:lang w:eastAsia="zh-CN" w:bidi="ar"/>
              </w:rPr>
              <w:t>0.75</w:t>
            </w:r>
          </w:p>
        </w:tc>
      </w:tr>
      <w:tr>
        <w:tblPrEx>
          <w:tblCellMar>
            <w:top w:w="0" w:type="dxa"/>
            <w:left w:w="0" w:type="dxa"/>
            <w:bottom w:w="0" w:type="dxa"/>
            <w:right w:w="0" w:type="dxa"/>
          </w:tblCellMar>
        </w:tblPrEx>
        <w:trPr>
          <w:cantSplit/>
          <w:trHeight w:val="3012"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C44政府网站内容安全保障能力评估服务质量</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color w:val="auto"/>
                <w:kern w:val="2"/>
                <w:lang w:eastAsia="zh-CN"/>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达到合同和招投标文件要求标准</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color w:val="auto"/>
                <w:kern w:val="2"/>
                <w:lang w:eastAsia="zh-CN" w:bidi="ar"/>
              </w:rPr>
            </w:pPr>
            <w:r>
              <w:rPr>
                <w:rFonts w:ascii="仿宋" w:hAnsi="仿宋" w:eastAsia="仿宋" w:cs="仿宋"/>
                <w:color w:val="auto"/>
                <w:kern w:val="2"/>
                <w:lang w:eastAsia="zh-CN" w:bidi="ar"/>
              </w:rPr>
              <w:t>①</w:t>
            </w:r>
            <w:r>
              <w:rPr>
                <w:rFonts w:hint="eastAsia" w:ascii="仿宋" w:hAnsi="仿宋" w:eastAsia="仿宋" w:cs="仿宋"/>
                <w:color w:val="auto"/>
                <w:kern w:val="2"/>
                <w:lang w:eastAsia="zh-CN" w:bidi="ar"/>
              </w:rPr>
              <w:t>政府网站内容安全保障能力评估服务质量合同符合招标文件及合同管理要求；</w:t>
            </w:r>
          </w:p>
          <w:p>
            <w:pPr>
              <w:widowControl/>
              <w:jc w:val="both"/>
              <w:textAlignment w:val="center"/>
              <w:rPr>
                <w:rFonts w:ascii="仿宋" w:hAnsi="仿宋" w:eastAsia="仿宋" w:cs="仿宋"/>
                <w:color w:val="auto"/>
                <w:kern w:val="2"/>
                <w:lang w:eastAsia="zh-CN" w:bidi="ar"/>
              </w:rPr>
            </w:pPr>
            <w:r>
              <w:rPr>
                <w:rFonts w:ascii="仿宋" w:hAnsi="仿宋" w:eastAsia="仿宋" w:cs="仿宋"/>
                <w:color w:val="auto"/>
                <w:kern w:val="2"/>
                <w:lang w:eastAsia="zh-CN" w:bidi="ar"/>
              </w:rPr>
              <w:t>②</w:t>
            </w:r>
            <w:r>
              <w:rPr>
                <w:rFonts w:hint="eastAsia" w:ascii="仿宋" w:hAnsi="仿宋" w:eastAsia="仿宋" w:cs="仿宋"/>
                <w:color w:val="auto"/>
                <w:kern w:val="2"/>
                <w:lang w:eastAsia="zh-CN" w:bidi="ar"/>
              </w:rPr>
              <w:t>政府网站内容安全保障能力评估服务质量实际完成情况达到合同和招投标文件要求标准。</w:t>
            </w:r>
          </w:p>
          <w:p>
            <w:pPr>
              <w:widowControl/>
              <w:jc w:val="both"/>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符合得权重分，否则酌情扣除权重分。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政府网站内容安全保障能力评估服务质量符合合同和招投标文件要求标准，</w:t>
            </w:r>
            <w:r>
              <w:rPr>
                <w:rFonts w:hint="eastAsia" w:ascii="仿宋" w:hAnsi="仿宋" w:eastAsia="仿宋" w:cs="仿宋"/>
                <w:kern w:val="2"/>
                <w:lang w:eastAsia="zh-CN" w:bidi="ar"/>
              </w:rPr>
              <w:t>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color w:val="auto"/>
                <w:kern w:val="2"/>
                <w:lang w:eastAsia="zh-CN"/>
              </w:rPr>
              <w:t>1</w:t>
            </w:r>
          </w:p>
        </w:tc>
      </w:tr>
      <w:tr>
        <w:tblPrEx>
          <w:tblCellMar>
            <w:top w:w="0" w:type="dxa"/>
            <w:left w:w="0" w:type="dxa"/>
            <w:bottom w:w="0" w:type="dxa"/>
            <w:right w:w="0" w:type="dxa"/>
          </w:tblCellMar>
        </w:tblPrEx>
        <w:trPr>
          <w:cantSplit/>
          <w:trHeight w:val="833"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lang w:eastAsia="zh-CN"/>
              </w:rPr>
            </w:pPr>
            <w:r>
              <w:rPr>
                <w:rFonts w:hint="eastAsia" w:ascii="仿宋" w:hAnsi="仿宋" w:eastAsia="仿宋" w:cs="仿宋"/>
                <w:kern w:val="2"/>
                <w:lang w:eastAsia="zh-CN" w:bidi="ar"/>
              </w:rPr>
              <w:t>C5项目评审（4）</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C51在建设项目推进率</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color w:val="auto"/>
                <w:kern w:val="2"/>
                <w:lang w:eastAsia="zh-CN"/>
              </w:rPr>
            </w:pPr>
            <w:r>
              <w:rPr>
                <w:rFonts w:hint="eastAsia" w:ascii="仿宋" w:hAnsi="仿宋" w:eastAsia="仿宋" w:cs="仿宋"/>
                <w:kern w:val="2"/>
                <w:lang w:eastAsia="zh-CN" w:bidi="ar"/>
              </w:rPr>
              <w:t>截至2022年底所有在建项目，工作完成进度是否达到原计划要求，未达到酌情扣权重分。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2"/>
                <w:lang w:eastAsia="zh-CN"/>
              </w:rPr>
            </w:pPr>
            <w:r>
              <w:rPr>
                <w:rFonts w:hint="eastAsia" w:ascii="仿宋" w:hAnsi="仿宋" w:eastAsia="仿宋" w:cs="仿宋"/>
                <w:kern w:val="2"/>
                <w:lang w:eastAsia="zh-CN" w:bidi="ar"/>
              </w:rPr>
              <w:t>截至2022年底所有在建项目进度均已按照经费计划要求推进完成。得100%权重分。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auto"/>
                <w:kern w:val="2"/>
                <w:lang w:eastAsia="zh-CN"/>
              </w:rPr>
            </w:pPr>
            <w:r>
              <w:rPr>
                <w:rFonts w:hint="eastAsia" w:ascii="仿宋" w:hAnsi="仿宋" w:eastAsia="仿宋" w:cs="仿宋"/>
                <w:color w:val="auto"/>
                <w:kern w:val="2"/>
                <w:lang w:eastAsia="zh-CN"/>
              </w:rPr>
              <w:t>1</w:t>
            </w:r>
          </w:p>
        </w:tc>
      </w:tr>
      <w:tr>
        <w:tblPrEx>
          <w:tblCellMar>
            <w:top w:w="0" w:type="dxa"/>
            <w:left w:w="0" w:type="dxa"/>
            <w:bottom w:w="0" w:type="dxa"/>
            <w:right w:w="0" w:type="dxa"/>
          </w:tblCellMar>
        </w:tblPrEx>
        <w:trPr>
          <w:cantSplit/>
          <w:trHeight w:val="1341"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C52项目审批完成率</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≥100%</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color w:val="auto"/>
                <w:kern w:val="2"/>
                <w:lang w:eastAsia="zh-CN"/>
              </w:rPr>
            </w:pPr>
            <w:r>
              <w:rPr>
                <w:rFonts w:hint="eastAsia" w:ascii="仿宋" w:hAnsi="仿宋" w:eastAsia="仿宋" w:cs="仿宋"/>
                <w:kern w:val="2"/>
                <w:lang w:eastAsia="zh-CN" w:bidi="ar"/>
              </w:rPr>
              <w:t>截至</w:t>
            </w:r>
            <w:r>
              <w:rPr>
                <w:rFonts w:hint="eastAsia" w:ascii="仿宋" w:hAnsi="仿宋" w:eastAsia="仿宋" w:cs="仿宋"/>
                <w:color w:val="auto"/>
                <w:kern w:val="2"/>
                <w:lang w:eastAsia="zh-CN" w:bidi="ar"/>
              </w:rPr>
              <w:t>2022年底已完成的批复数量是否覆盖全年指标数量，未达到酌情扣权重分。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lang w:eastAsia="zh-CN" w:bidi="ar"/>
              </w:rPr>
            </w:pPr>
            <w:r>
              <w:rPr>
                <w:rFonts w:hint="eastAsia" w:ascii="仿宋" w:hAnsi="仿宋" w:eastAsia="仿宋" w:cs="仿宋"/>
                <w:kern w:val="2"/>
                <w:lang w:eastAsia="zh-CN" w:bidi="ar"/>
              </w:rPr>
              <w:t>2022年批复56个项目（不含涉密项目），已完全覆盖2022年评审的项目，其审批完成率大于100%。得100%权重分。</w:t>
            </w:r>
          </w:p>
          <w:p>
            <w:pPr>
              <w:widowControl/>
              <w:textAlignment w:val="center"/>
              <w:rPr>
                <w:rFonts w:ascii="仿宋" w:hAnsi="仿宋" w:eastAsia="仿宋" w:cs="仿宋"/>
                <w:color w:val="auto"/>
                <w:kern w:val="2"/>
                <w:lang w:eastAsia="zh-CN"/>
              </w:rPr>
            </w:pP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auto"/>
                <w:kern w:val="2"/>
                <w:lang w:eastAsia="zh-CN"/>
              </w:rPr>
            </w:pPr>
            <w:r>
              <w:rPr>
                <w:rFonts w:hint="eastAsia" w:ascii="仿宋" w:hAnsi="仿宋" w:eastAsia="仿宋" w:cs="仿宋"/>
                <w:color w:val="auto"/>
                <w:kern w:val="2"/>
                <w:lang w:eastAsia="zh-CN"/>
              </w:rPr>
              <w:t>1</w:t>
            </w:r>
          </w:p>
        </w:tc>
      </w:tr>
      <w:tr>
        <w:tblPrEx>
          <w:tblCellMar>
            <w:top w:w="0" w:type="dxa"/>
            <w:left w:w="0" w:type="dxa"/>
            <w:bottom w:w="0" w:type="dxa"/>
            <w:right w:w="0" w:type="dxa"/>
          </w:tblCellMar>
        </w:tblPrEx>
        <w:trPr>
          <w:cantSplit/>
          <w:trHeight w:val="1980"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C53城市治理数字化水平</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大幅提升</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color w:val="auto"/>
                <w:kern w:val="2"/>
                <w:lang w:eastAsia="zh-CN"/>
              </w:rPr>
            </w:pPr>
            <w:r>
              <w:rPr>
                <w:rFonts w:hint="eastAsia" w:ascii="仿宋" w:hAnsi="仿宋" w:eastAsia="仿宋" w:cs="仿宋"/>
                <w:color w:val="auto"/>
                <w:kern w:val="2"/>
                <w:lang w:eastAsia="zh-CN"/>
              </w:rPr>
              <w:t>当年实施的相关项目相较于去年有大幅提升且及时开展开展项目绩效评价。</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2"/>
                <w:lang w:eastAsia="zh-CN"/>
              </w:rPr>
            </w:pPr>
            <w:r>
              <w:rPr>
                <w:rFonts w:hint="eastAsia" w:ascii="仿宋" w:hAnsi="仿宋" w:eastAsia="仿宋" w:cs="仿宋"/>
                <w:kern w:val="2"/>
                <w:lang w:eastAsia="zh-CN" w:bidi="ar"/>
              </w:rPr>
              <w:t>①加强部门之间协调联系，形成“城市安全风险综合监测预警平台建设”对接清单；②依托城市运行“一网统管”和城市数字化治理模式，加快数据整合共享。大幅度提升的标准未明确，扣25%权重分。未及时、客观开展项目绩效评价扣权重分扣25%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0.5</w:t>
            </w:r>
          </w:p>
        </w:tc>
      </w:tr>
      <w:tr>
        <w:tblPrEx>
          <w:tblCellMar>
            <w:top w:w="0" w:type="dxa"/>
            <w:left w:w="0" w:type="dxa"/>
            <w:bottom w:w="0" w:type="dxa"/>
            <w:right w:w="0" w:type="dxa"/>
          </w:tblCellMar>
        </w:tblPrEx>
        <w:trPr>
          <w:cantSplit/>
          <w:trHeight w:val="1980"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C54政务信息汇聚共享率</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当年部门数据接入南京市政务数据开放平台的数量是否达到预期目标，达到得权重分，</w:t>
            </w:r>
            <w:r>
              <w:rPr>
                <w:rFonts w:hint="eastAsia" w:ascii="仿宋" w:hAnsi="仿宋" w:eastAsia="仿宋" w:cs="仿宋"/>
                <w:color w:val="auto"/>
                <w:kern w:val="2"/>
                <w:lang w:eastAsia="zh-CN" w:bidi="ar"/>
              </w:rPr>
              <w:t>未达到酌情扣权重分。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2"/>
                <w:lang w:eastAsia="zh-CN" w:bidi="ar"/>
              </w:rPr>
            </w:pPr>
            <w:r>
              <w:rPr>
                <w:rFonts w:hint="eastAsia" w:ascii="仿宋" w:hAnsi="仿宋" w:eastAsia="仿宋" w:cs="仿宋"/>
                <w:kern w:val="2"/>
                <w:lang w:eastAsia="zh-CN" w:bidi="ar"/>
              </w:rPr>
              <w:t>通过数控接口将各部门数据接入南京市政务数据开放平台，实现了数据共享，得100%权重分。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lang w:eastAsia="zh-CN"/>
              </w:rPr>
            </w:pPr>
            <w:r>
              <w:rPr>
                <w:rFonts w:hint="eastAsia" w:ascii="仿宋" w:hAnsi="仿宋" w:eastAsia="仿宋" w:cs="仿宋"/>
                <w:kern w:val="2"/>
                <w:lang w:eastAsia="zh-CN" w:bidi="ar"/>
              </w:rPr>
              <w:t>C6宣传推广工作经费（4）</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C61 深度报道篇数</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≥6篇</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报道篇数是否满足年度计划数。</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符合得权重分，否则酌情扣除权重分。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“智慧南京”及城市数字治理重点项目、板块亮点深度报道8篇，有计划、有亮点的选题策划，及时将相关工作成效宣传到全市、全省乃至全国，得100%权重分。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870"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C62 渠道分发</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市级以上重点媒体</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是否满足市级以上重点媒体渠道分发。</w:t>
            </w:r>
          </w:p>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符合得权重分，否则酌情扣除权重分。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龙虎网、学习强国、新华网等媒体分发推送稿件，共计95篇，其中，被学习强国转载17篇，人民日报转载8篇，新华网转载9篇，得100%权重分。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C63 项目完成及时性</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按合同进度</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kern w:val="2"/>
                <w:lang w:eastAsia="zh-CN" w:bidi="ar"/>
              </w:rPr>
            </w:pPr>
            <w:r>
              <w:rPr>
                <w:rFonts w:hint="eastAsia" w:ascii="仿宋" w:hAnsi="仿宋" w:eastAsia="仿宋" w:cs="仿宋"/>
                <w:kern w:val="2"/>
                <w:lang w:eastAsia="zh-CN" w:bidi="ar"/>
              </w:rPr>
              <w:t>是否按合同进度在规定时间完成。</w:t>
            </w:r>
          </w:p>
          <w:p>
            <w:pPr>
              <w:widowControl/>
              <w:jc w:val="both"/>
              <w:textAlignment w:val="center"/>
              <w:rPr>
                <w:rFonts w:ascii="Calibri" w:hAnsi="Calibri"/>
                <w:kern w:val="2"/>
                <w:lang w:eastAsia="zh-CN"/>
              </w:rPr>
            </w:pPr>
            <w:r>
              <w:rPr>
                <w:rFonts w:hint="eastAsia" w:ascii="仿宋" w:hAnsi="仿宋" w:eastAsia="仿宋" w:cs="仿宋"/>
                <w:kern w:val="2"/>
                <w:lang w:eastAsia="zh-CN" w:bidi="ar"/>
              </w:rPr>
              <w:t>符合得权重分，否则酌情扣除权重分。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color w:val="auto"/>
                <w:kern w:val="2"/>
                <w:lang w:eastAsia="zh-CN" w:bidi="ar"/>
              </w:rPr>
              <w:t>2022年项目已按照合同进度完成，得100%权重分。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1077" w:hRule="atLeast"/>
          <w:jc w:val="center"/>
        </w:trPr>
        <w:tc>
          <w:tcPr>
            <w:tcW w:w="83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C64 提高公众知晓度</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较高</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①积极宣传智慧南京建设和城市数字治理工作；</w:t>
            </w:r>
          </w:p>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②介绍智慧城市发展动态和重点项目,重点工作进展；</w:t>
            </w:r>
          </w:p>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③营造良好大数据工作舆论氛围。</w:t>
            </w:r>
          </w:p>
          <w:p>
            <w:pPr>
              <w:widowControl/>
              <w:textAlignment w:val="center"/>
              <w:rPr>
                <w:rFonts w:ascii="Calibri" w:hAnsi="Calibri"/>
                <w:kern w:val="2"/>
                <w:lang w:eastAsia="zh-CN"/>
              </w:rPr>
            </w:pPr>
            <w:r>
              <w:rPr>
                <w:rFonts w:hint="eastAsia" w:ascii="仿宋" w:hAnsi="仿宋" w:eastAsia="仿宋" w:cs="仿宋"/>
                <w:kern w:val="2"/>
                <w:lang w:eastAsia="zh-CN" w:bidi="ar"/>
              </w:rPr>
              <w:t>符合得权重分，否则酌情扣除权重分。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①完成原创新闻稿件共计20篇，撰写完成原创深度报道8篇，策划1次新闻发布会；②新闻分发共计95篇，其中，被学习强国转载17篇，人民日报转载8篇，新华网转载9篇；③新媒体产品设计9次，同时为“南京城市运行管理中心”公众号前期运营提供了宣传素材，围绕智慧南京、数字政府、数据赋能等方面，加大宣传力度，提高公众的了解。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2927"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D履职绩效（30）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r>
              <w:rPr>
                <w:rFonts w:hint="eastAsia" w:ascii="仿宋" w:hAnsi="仿宋" w:eastAsia="仿宋" w:cs="仿宋"/>
                <w:kern w:val="2"/>
                <w:lang w:eastAsia="zh-CN"/>
              </w:rPr>
              <w:t>D1社会效益（10）</w:t>
            </w:r>
          </w:p>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D11积极宣传智慧南京建设和城市数字治理工作,介绍智慧城市发展动态和重点项目,重点工作进展,营造良好大数据工作舆论氛围</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highlight w:val="yellow"/>
                <w:lang w:eastAsia="zh-CN" w:bidi="ar"/>
              </w:rPr>
            </w:pPr>
            <w:r>
              <w:rPr>
                <w:rFonts w:hint="eastAsia" w:ascii="仿宋" w:hAnsi="仿宋" w:eastAsia="仿宋" w:cs="仿宋"/>
                <w:kern w:val="2"/>
                <w:lang w:eastAsia="zh-CN" w:bidi="ar"/>
              </w:rPr>
              <w:t>10</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highlight w:val="yellow"/>
                <w:lang w:eastAsia="zh-CN" w:bidi="ar"/>
              </w:rPr>
            </w:pPr>
            <w:r>
              <w:rPr>
                <w:rFonts w:hint="eastAsia" w:ascii="仿宋" w:hAnsi="仿宋" w:eastAsia="仿宋" w:cs="仿宋"/>
                <w:kern w:val="2"/>
                <w:lang w:eastAsia="zh-CN" w:bidi="ar"/>
              </w:rPr>
              <w:t>效果显著</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highlight w:val="yellow"/>
                <w:lang w:eastAsia="zh-CN" w:bidi="ar"/>
              </w:rPr>
            </w:pPr>
            <w:r>
              <w:rPr>
                <w:rFonts w:hint="eastAsia" w:ascii="仿宋" w:hAnsi="仿宋" w:eastAsia="仿宋" w:cs="仿宋"/>
                <w:kern w:val="2"/>
                <w:lang w:eastAsia="zh-CN" w:bidi="ar"/>
              </w:rPr>
              <w:t>①积极宣传智慧南京建设和城市数字治理工作；②介绍智慧城市发展动态和重点项目,重点工作进展；上述工作均达标得权重分，或根据当年度具体工作实施项目效益得分。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textAlignment w:val="center"/>
              <w:rPr>
                <w:rFonts w:ascii="仿宋" w:hAnsi="仿宋" w:eastAsia="仿宋" w:cs="仿宋"/>
                <w:highlight w:val="yellow"/>
                <w:lang w:eastAsia="zh-CN" w:bidi="ar"/>
              </w:rPr>
            </w:pPr>
            <w:r>
              <w:rPr>
                <w:rFonts w:hint="eastAsia" w:ascii="仿宋" w:hAnsi="仿宋" w:eastAsia="仿宋" w:cs="仿宋"/>
                <w:kern w:val="2"/>
                <w:lang w:eastAsia="zh-CN" w:bidi="ar"/>
              </w:rPr>
              <w:t>①完成8篇“智慧南京”及城市数字治理重点项目、板块亮点深度报道；策划1次新闻发布会；②龙虎网、学习强国、新华网等媒体分发推送稿件，共计95篇，其中，被学习强国转载17篇，人民日报转载8篇，新华网转载9篇；③新媒体产品设计9次，积极宣传智慧南京建设和城市数字治理工作，介绍智慧城市发展动态和重点项目、重点工作进展，营造良好大数据工作舆论氛围。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highlight w:val="yellow"/>
                <w:lang w:eastAsia="zh-CN"/>
              </w:rPr>
            </w:pPr>
            <w:r>
              <w:rPr>
                <w:rFonts w:hint="eastAsia" w:ascii="仿宋" w:hAnsi="仿宋" w:eastAsia="仿宋" w:cs="仿宋"/>
                <w:kern w:val="2"/>
                <w:lang w:eastAsia="zh-CN"/>
              </w:rPr>
              <w:t>10</w:t>
            </w:r>
          </w:p>
        </w:tc>
      </w:tr>
      <w:tr>
        <w:tblPrEx>
          <w:tblCellMar>
            <w:top w:w="0" w:type="dxa"/>
            <w:left w:w="0" w:type="dxa"/>
            <w:bottom w:w="0" w:type="dxa"/>
            <w:right w:w="0" w:type="dxa"/>
          </w:tblCellMar>
        </w:tblPrEx>
        <w:trPr>
          <w:cantSplit/>
          <w:trHeight w:val="4249"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D2经济效益（10）</w:t>
            </w:r>
          </w:p>
          <w:p>
            <w:pPr>
              <w:jc w:val="center"/>
              <w:rPr>
                <w:rFonts w:ascii="仿宋" w:hAnsi="仿宋" w:eastAsia="仿宋" w:cs="仿宋"/>
                <w:kern w:val="2"/>
              </w:rPr>
            </w:pP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D21加强政务信息化的项目管理，合理统筹政务信息化系统的建设和运行</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10</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积极推动</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①加强政务信息化的项目管理；②统筹政务信息化系统的建设和运行；上述工作均达标得权重分。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①</w:t>
            </w:r>
            <w:r>
              <w:rPr>
                <w:rFonts w:hint="eastAsia" w:ascii="仿宋" w:hAnsi="仿宋" w:eastAsia="仿宋" w:cs="仿宋"/>
                <w:kern w:val="2"/>
                <w:lang w:eastAsia="zh-CN"/>
              </w:rPr>
              <w:t>推动“一网统管”相关工作，推动建立城市数字治理工作组织体系；</w:t>
            </w:r>
            <w:r>
              <w:rPr>
                <w:rFonts w:hint="eastAsia" w:ascii="仿宋" w:hAnsi="仿宋" w:eastAsia="仿宋" w:cs="仿宋"/>
                <w:kern w:val="2"/>
                <w:lang w:eastAsia="zh-CN" w:bidi="ar"/>
              </w:rPr>
              <w:t>②</w:t>
            </w:r>
            <w:r>
              <w:rPr>
                <w:rFonts w:hint="eastAsia" w:ascii="仿宋" w:hAnsi="仿宋" w:eastAsia="仿宋" w:cs="仿宋"/>
                <w:kern w:val="2"/>
                <w:lang w:eastAsia="zh-CN"/>
              </w:rPr>
              <w:t>完善政务信息化项目管理工作，初步建立项目网络安全联合审查工作机制，督促项目建设单位落实政务信息化建设网络安全要求；</w:t>
            </w:r>
            <w:r>
              <w:rPr>
                <w:rFonts w:hint="eastAsia" w:ascii="仿宋" w:hAnsi="仿宋" w:eastAsia="仿宋" w:cs="仿宋"/>
                <w:kern w:val="2"/>
                <w:lang w:eastAsia="zh-CN" w:bidi="ar"/>
              </w:rPr>
              <w:t>③</w:t>
            </w:r>
            <w:r>
              <w:rPr>
                <w:rFonts w:hint="eastAsia" w:ascii="仿宋" w:hAnsi="仿宋" w:eastAsia="仿宋" w:cs="仿宋"/>
                <w:kern w:val="2"/>
                <w:lang w:eastAsia="zh-CN"/>
              </w:rPr>
              <w:t>加强内审工作监督建设项目资金的合法和安全使用，保障建设项目质量</w:t>
            </w:r>
            <w:r>
              <w:rPr>
                <w:rFonts w:hint="eastAsia" w:ascii="仿宋" w:hAnsi="仿宋" w:eastAsia="仿宋" w:cs="仿宋"/>
                <w:kern w:val="2"/>
                <w:lang w:eastAsia="zh-CN" w:bidi="ar"/>
              </w:rPr>
              <w:t>。得100%权重分。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10</w:t>
            </w:r>
          </w:p>
        </w:tc>
      </w:tr>
      <w:tr>
        <w:tblPrEx>
          <w:tblCellMar>
            <w:top w:w="0" w:type="dxa"/>
            <w:left w:w="0" w:type="dxa"/>
            <w:bottom w:w="0" w:type="dxa"/>
            <w:right w:w="0" w:type="dxa"/>
          </w:tblCellMar>
        </w:tblPrEx>
        <w:trPr>
          <w:cantSplit/>
          <w:trHeight w:val="3456" w:hRule="atLeast"/>
          <w:jc w:val="center"/>
        </w:trPr>
        <w:tc>
          <w:tcPr>
            <w:tcW w:w="83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r>
              <w:rPr>
                <w:rFonts w:hint="eastAsia" w:ascii="仿宋" w:hAnsi="仿宋" w:eastAsia="仿宋" w:cs="仿宋"/>
                <w:kern w:val="2"/>
                <w:lang w:eastAsia="zh-CN" w:bidi="ar"/>
              </w:rPr>
              <w:t>D3生态效益（5）</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D31推进政务数据安全保障体系建设，推动构建大数据安全良好生态</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5</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积极推动</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bidi="ar"/>
              </w:rPr>
            </w:pPr>
            <w:r>
              <w:rPr>
                <w:rFonts w:hint="eastAsia" w:ascii="仿宋" w:hAnsi="仿宋" w:eastAsia="仿宋" w:cs="仿宋"/>
                <w:kern w:val="2"/>
                <w:lang w:eastAsia="zh-CN" w:bidi="ar"/>
              </w:rPr>
              <w:t>①积极推动政务数据安全保障体系；②积极推动构建大数据安全良好生态。上述工作均达标得权重分。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rPr>
              <w:t>①推进全市政府网站群内容安全保障体系和监督评估能力的建设；②</w:t>
            </w:r>
            <w:r>
              <w:rPr>
                <w:rFonts w:hint="eastAsia" w:ascii="仿宋" w:hAnsi="仿宋" w:eastAsia="仿宋" w:cs="仿宋"/>
                <w:kern w:val="2"/>
                <w:szCs w:val="32"/>
                <w:lang w:eastAsia="zh-CN"/>
              </w:rPr>
              <w:t>协助审核政务信息化项目，</w:t>
            </w:r>
            <w:r>
              <w:rPr>
                <w:rFonts w:hint="eastAsia" w:ascii="仿宋" w:hAnsi="仿宋" w:eastAsia="仿宋" w:cs="仿宋"/>
                <w:kern w:val="2"/>
                <w:lang w:eastAsia="zh-CN"/>
              </w:rPr>
              <w:t>提升全市各部门信息系统数据安全保障能力；</w:t>
            </w:r>
            <w:r>
              <w:rPr>
                <w:rFonts w:hint="eastAsia" w:ascii="仿宋" w:hAnsi="仿宋" w:eastAsia="仿宋" w:cs="仿宋"/>
                <w:kern w:val="2"/>
                <w:lang w:eastAsia="zh-CN" w:bidi="ar"/>
              </w:rPr>
              <w:t>③</w:t>
            </w:r>
            <w:r>
              <w:rPr>
                <w:rFonts w:hint="eastAsia" w:ascii="仿宋" w:hAnsi="仿宋" w:eastAsia="仿宋" w:cs="仿宋"/>
                <w:kern w:val="2"/>
                <w:lang w:eastAsia="zh-CN"/>
              </w:rPr>
              <w:t>开展政务信息化项目数据安全风险评估，提升重要政务信息系统数据安全防范能力；④开展</w:t>
            </w:r>
            <w:r>
              <w:rPr>
                <w:rFonts w:hint="eastAsia" w:ascii="仿宋" w:hAnsi="仿宋" w:eastAsia="仿宋" w:cs="仿宋"/>
                <w:kern w:val="2"/>
                <w:szCs w:val="32"/>
                <w:lang w:eastAsia="zh-CN"/>
              </w:rPr>
              <w:t>市政务外网LRA分中心系统安全运维工作。通过数据安全建设工作，加强政务数据安全保障能力，推动政务数据服务效率。</w:t>
            </w:r>
            <w:r>
              <w:rPr>
                <w:rFonts w:hint="eastAsia" w:ascii="仿宋" w:hAnsi="仿宋" w:eastAsia="仿宋" w:cs="仿宋"/>
                <w:kern w:val="2"/>
                <w:lang w:eastAsia="zh-CN" w:bidi="ar"/>
              </w:rPr>
              <w:t>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5</w:t>
            </w:r>
          </w:p>
        </w:tc>
      </w:tr>
      <w:tr>
        <w:tblPrEx>
          <w:tblCellMar>
            <w:top w:w="0" w:type="dxa"/>
            <w:left w:w="0" w:type="dxa"/>
            <w:bottom w:w="0" w:type="dxa"/>
            <w:right w:w="0" w:type="dxa"/>
          </w:tblCellMar>
        </w:tblPrEx>
        <w:trPr>
          <w:cantSplit/>
          <w:trHeight w:val="3192" w:hRule="atLeast"/>
          <w:jc w:val="center"/>
        </w:trPr>
        <w:tc>
          <w:tcPr>
            <w:tcW w:w="83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D4满意度（5）</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D41数据共享方面满意度</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5</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rPr>
              <w:t>显著提升</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 xml:space="preserve"> 达到指标值，得权重分，或按比例得分。 </w:t>
            </w:r>
          </w:p>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bidi="ar"/>
              </w:rPr>
            </w:pPr>
            <w:r>
              <w:rPr>
                <w:rFonts w:hint="eastAsia" w:ascii="仿宋" w:hAnsi="仿宋" w:eastAsia="仿宋" w:cs="仿宋"/>
                <w:kern w:val="2"/>
                <w:lang w:eastAsia="zh-CN" w:bidi="ar"/>
              </w:rPr>
              <w:t>无法获取服务对象满意度的相关资料，根据需求部门事项办结率为100%，得90%权重分</w:t>
            </w:r>
          </w:p>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bidi="ar"/>
              </w:rPr>
              <w:t>4.5</w:t>
            </w:r>
          </w:p>
        </w:tc>
      </w:tr>
      <w:tr>
        <w:tblPrEx>
          <w:tblCellMar>
            <w:top w:w="0" w:type="dxa"/>
            <w:left w:w="0" w:type="dxa"/>
            <w:bottom w:w="0" w:type="dxa"/>
            <w:right w:w="0" w:type="dxa"/>
          </w:tblCellMar>
        </w:tblPrEx>
        <w:trPr>
          <w:cantSplit/>
          <w:trHeight w:val="943"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lang w:eastAsia="zh-CN" w:bidi="ar"/>
              </w:rPr>
              <w:t xml:space="preserve"> E可持续发展能力（5） </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E1信息化建设情况（3）</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kern w:val="2"/>
                <w:lang w:eastAsia="zh-CN" w:bidi="ar"/>
              </w:rPr>
              <w:t xml:space="preserve"> 信息化机制建设度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lang w:eastAsia="zh-CN"/>
              </w:rPr>
            </w:pPr>
            <w:r>
              <w:rPr>
                <w:rFonts w:hint="eastAsia" w:ascii="仿宋" w:hAnsi="仿宋" w:eastAsia="仿宋" w:cs="仿宋"/>
                <w:kern w:val="2"/>
                <w:lang w:eastAsia="zh-CN"/>
              </w:rPr>
              <w:t>3</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高度建设</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办公流程、业务开展等是否能通过部门的信息系统实现，符合得权重分。 </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办公流程通过OA系统管理，得100%权重分。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3</w:t>
            </w:r>
          </w:p>
        </w:tc>
      </w:tr>
      <w:tr>
        <w:tblPrEx>
          <w:tblCellMar>
            <w:top w:w="0" w:type="dxa"/>
            <w:left w:w="0" w:type="dxa"/>
            <w:bottom w:w="0" w:type="dxa"/>
            <w:right w:w="0" w:type="dxa"/>
          </w:tblCellMar>
        </w:tblPrEx>
        <w:trPr>
          <w:cantSplit/>
          <w:trHeight w:val="983"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highlight w:val="yellow"/>
              </w:rPr>
            </w:pP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E2人力资源建设情况（2） </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kern w:val="2"/>
                <w:lang w:eastAsia="zh-CN" w:bidi="ar"/>
              </w:rPr>
              <w:t xml:space="preserve"> 专业能力建设度</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2</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提升</w:t>
            </w: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 xml:space="preserve"> ①是否着眼未来，制定并开展了人才培养计划、人才选拔相关激励措施，符合得权重分。</w:t>
            </w: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lang w:eastAsia="zh-CN"/>
              </w:rPr>
            </w:pPr>
            <w:r>
              <w:rPr>
                <w:rFonts w:hint="eastAsia" w:ascii="仿宋" w:hAnsi="仿宋" w:eastAsia="仿宋" w:cs="仿宋"/>
                <w:kern w:val="2"/>
                <w:lang w:eastAsia="zh-CN" w:bidi="ar"/>
              </w:rPr>
              <w:t>举办综合能力提升培训班专题培训，未按计划开展全市数据资源管理类培训，尚未形成完整系统的人才定期培训计划，得50%权重分。</w:t>
            </w: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lang w:eastAsia="zh-CN"/>
              </w:rPr>
            </w:pPr>
            <w:r>
              <w:rPr>
                <w:rFonts w:hint="eastAsia" w:ascii="仿宋" w:hAnsi="仿宋" w:eastAsia="仿宋" w:cs="仿宋"/>
                <w:kern w:val="2"/>
                <w:lang w:eastAsia="zh-CN"/>
              </w:rPr>
              <w:t>1</w:t>
            </w:r>
          </w:p>
        </w:tc>
      </w:tr>
      <w:tr>
        <w:tblPrEx>
          <w:tblCellMar>
            <w:top w:w="0" w:type="dxa"/>
            <w:left w:w="0" w:type="dxa"/>
            <w:bottom w:w="0" w:type="dxa"/>
            <w:right w:w="0" w:type="dxa"/>
          </w:tblCellMar>
        </w:tblPrEx>
        <w:trPr>
          <w:cantSplit/>
          <w:trHeight w:val="245" w:hRule="atLeast"/>
          <w:jc w:val="center"/>
        </w:trPr>
        <w:tc>
          <w:tcPr>
            <w:tcW w:w="315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小计</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100</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rPr>
            </w:pP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rPr>
            </w:pP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93.08</w:t>
            </w:r>
          </w:p>
        </w:tc>
      </w:tr>
      <w:tr>
        <w:tblPrEx>
          <w:tblCellMar>
            <w:top w:w="0" w:type="dxa"/>
            <w:left w:w="0" w:type="dxa"/>
            <w:bottom w:w="0" w:type="dxa"/>
            <w:right w:w="0" w:type="dxa"/>
          </w:tblCellMar>
        </w:tblPrEx>
        <w:trPr>
          <w:cantSplit/>
          <w:trHeight w:val="318" w:hRule="atLeast"/>
          <w:jc w:val="center"/>
        </w:trPr>
        <w:tc>
          <w:tcPr>
            <w:tcW w:w="83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kern w:val="2"/>
                <w:lang w:eastAsia="zh-CN" w:bidi="ar"/>
              </w:rPr>
              <w:t>F 加分项（≤5分）</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F1 加分项</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嘉奖情况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p>
        </w:tc>
      </w:tr>
      <w:tr>
        <w:tblPrEx>
          <w:tblCellMar>
            <w:top w:w="0" w:type="dxa"/>
            <w:left w:w="0" w:type="dxa"/>
            <w:bottom w:w="0" w:type="dxa"/>
            <w:right w:w="0" w:type="dxa"/>
          </w:tblCellMar>
        </w:tblPrEx>
        <w:trPr>
          <w:cantSplit/>
          <w:trHeight w:val="443" w:hRule="atLeast"/>
          <w:jc w:val="center"/>
        </w:trPr>
        <w:tc>
          <w:tcPr>
            <w:tcW w:w="83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kern w:val="2"/>
              </w:rPr>
            </w:pP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r>
              <w:rPr>
                <w:rFonts w:hint="eastAsia" w:ascii="仿宋" w:hAnsi="仿宋" w:eastAsia="仿宋" w:cs="仿宋"/>
                <w:lang w:eastAsia="zh-CN" w:bidi="ar"/>
              </w:rPr>
              <w:t>F2 减分项</w:t>
            </w:r>
          </w:p>
        </w:tc>
        <w:tc>
          <w:tcPr>
            <w:tcW w:w="1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r>
              <w:rPr>
                <w:rFonts w:hint="eastAsia" w:ascii="仿宋" w:hAnsi="仿宋" w:eastAsia="仿宋" w:cs="仿宋"/>
                <w:lang w:eastAsia="zh-CN" w:bidi="ar"/>
              </w:rPr>
              <w:t xml:space="preserve"> 违法违纪情况 </w:t>
            </w:r>
          </w:p>
        </w:tc>
        <w:tc>
          <w:tcPr>
            <w:tcW w:w="4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p>
        </w:tc>
        <w:tc>
          <w:tcPr>
            <w:tcW w:w="42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kern w:val="2"/>
              </w:rPr>
            </w:pPr>
          </w:p>
        </w:tc>
        <w:tc>
          <w:tcPr>
            <w:tcW w:w="59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kern w:val="2"/>
              </w:rPr>
            </w:pPr>
          </w:p>
        </w:tc>
        <w:tc>
          <w:tcPr>
            <w:tcW w:w="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kern w:val="2"/>
              </w:rPr>
            </w:pPr>
          </w:p>
        </w:tc>
      </w:tr>
    </w:tbl>
    <w:p/>
    <w:sectPr>
      <w:headerReference r:id="rId9" w:type="default"/>
      <w:footerReference r:id="rId10" w:type="default"/>
      <w:pgSz w:w="16838" w:h="11906" w:orient="landscape"/>
      <w:pgMar w:top="720" w:right="720" w:bottom="720" w:left="7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MKO6rWnAQAAQAMAAA4AAAAA&#10;AAAAAQAgAAAAHgEAAGRycy9lMm9Eb2MueG1sUEsFBgAAAAAGAAYAWQEAADc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00"/>
  <w:drawingGridHorizontalSpacing w:val="181"/>
  <w:drawingGridVerticalSpacing w:val="181"/>
  <w:noPunctuationKerning w:val="1"/>
  <w:characterSpacingControl w:val="compressPunctuation"/>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MWIzNmUxZTMyYjgwOTk5ZTIyMzA0OGEzMzYzYjkifQ=="/>
  </w:docVars>
  <w:rsids>
    <w:rsidRoot w:val="00172A27"/>
    <w:rsid w:val="00026F98"/>
    <w:rsid w:val="0004263E"/>
    <w:rsid w:val="00043356"/>
    <w:rsid w:val="001034E5"/>
    <w:rsid w:val="00111A60"/>
    <w:rsid w:val="00172A27"/>
    <w:rsid w:val="001E75B7"/>
    <w:rsid w:val="00226E48"/>
    <w:rsid w:val="00252D6D"/>
    <w:rsid w:val="00261A1E"/>
    <w:rsid w:val="00274AC7"/>
    <w:rsid w:val="00285F8A"/>
    <w:rsid w:val="002B2FDC"/>
    <w:rsid w:val="002C5014"/>
    <w:rsid w:val="002D5891"/>
    <w:rsid w:val="002F2DAD"/>
    <w:rsid w:val="00313E13"/>
    <w:rsid w:val="00321278"/>
    <w:rsid w:val="00340346"/>
    <w:rsid w:val="003459C6"/>
    <w:rsid w:val="0037505B"/>
    <w:rsid w:val="003A4EFF"/>
    <w:rsid w:val="003B1EEA"/>
    <w:rsid w:val="003C6FE0"/>
    <w:rsid w:val="00441A7A"/>
    <w:rsid w:val="00447978"/>
    <w:rsid w:val="00475672"/>
    <w:rsid w:val="00493C20"/>
    <w:rsid w:val="004B04A5"/>
    <w:rsid w:val="004B3566"/>
    <w:rsid w:val="004C6850"/>
    <w:rsid w:val="004D4A32"/>
    <w:rsid w:val="004E1996"/>
    <w:rsid w:val="004E5767"/>
    <w:rsid w:val="004F6B69"/>
    <w:rsid w:val="00524482"/>
    <w:rsid w:val="005703AD"/>
    <w:rsid w:val="005D733A"/>
    <w:rsid w:val="005F5C88"/>
    <w:rsid w:val="005F6A37"/>
    <w:rsid w:val="00615613"/>
    <w:rsid w:val="00627759"/>
    <w:rsid w:val="00635757"/>
    <w:rsid w:val="00636606"/>
    <w:rsid w:val="00684564"/>
    <w:rsid w:val="006A02A7"/>
    <w:rsid w:val="006C6704"/>
    <w:rsid w:val="006D4C48"/>
    <w:rsid w:val="00744F97"/>
    <w:rsid w:val="007904ED"/>
    <w:rsid w:val="0079059D"/>
    <w:rsid w:val="007B108E"/>
    <w:rsid w:val="007E78AF"/>
    <w:rsid w:val="008029DD"/>
    <w:rsid w:val="00802C53"/>
    <w:rsid w:val="0088733D"/>
    <w:rsid w:val="008A2EA5"/>
    <w:rsid w:val="008D4B36"/>
    <w:rsid w:val="008D4F92"/>
    <w:rsid w:val="008E19EE"/>
    <w:rsid w:val="008E438A"/>
    <w:rsid w:val="00915761"/>
    <w:rsid w:val="009430D8"/>
    <w:rsid w:val="00996877"/>
    <w:rsid w:val="009B3F85"/>
    <w:rsid w:val="00A25C1C"/>
    <w:rsid w:val="00A338E5"/>
    <w:rsid w:val="00AB2AA4"/>
    <w:rsid w:val="00AE39E8"/>
    <w:rsid w:val="00B136BC"/>
    <w:rsid w:val="00B174E8"/>
    <w:rsid w:val="00B24841"/>
    <w:rsid w:val="00B41297"/>
    <w:rsid w:val="00B4688E"/>
    <w:rsid w:val="00BA0694"/>
    <w:rsid w:val="00BB2F15"/>
    <w:rsid w:val="00C51A66"/>
    <w:rsid w:val="00C5597E"/>
    <w:rsid w:val="00C711E5"/>
    <w:rsid w:val="00C7340B"/>
    <w:rsid w:val="00C81345"/>
    <w:rsid w:val="00C84172"/>
    <w:rsid w:val="00C85914"/>
    <w:rsid w:val="00CE090E"/>
    <w:rsid w:val="00D4344D"/>
    <w:rsid w:val="00D72474"/>
    <w:rsid w:val="00DA62BB"/>
    <w:rsid w:val="00DD765E"/>
    <w:rsid w:val="00DE6FD2"/>
    <w:rsid w:val="00DF4A70"/>
    <w:rsid w:val="00E27A2B"/>
    <w:rsid w:val="00E36CC8"/>
    <w:rsid w:val="00E66C15"/>
    <w:rsid w:val="00ED03BB"/>
    <w:rsid w:val="00F06C43"/>
    <w:rsid w:val="00F23344"/>
    <w:rsid w:val="00F41D34"/>
    <w:rsid w:val="00F47563"/>
    <w:rsid w:val="00F647D0"/>
    <w:rsid w:val="00F75932"/>
    <w:rsid w:val="00F84343"/>
    <w:rsid w:val="00F84A5A"/>
    <w:rsid w:val="00FD75DB"/>
    <w:rsid w:val="0101706D"/>
    <w:rsid w:val="01556157"/>
    <w:rsid w:val="01AC3DFE"/>
    <w:rsid w:val="01B446F6"/>
    <w:rsid w:val="020242B9"/>
    <w:rsid w:val="02306473"/>
    <w:rsid w:val="0236652F"/>
    <w:rsid w:val="023B563F"/>
    <w:rsid w:val="024E68F9"/>
    <w:rsid w:val="027520D7"/>
    <w:rsid w:val="045E533E"/>
    <w:rsid w:val="04AD3DAA"/>
    <w:rsid w:val="04C335CE"/>
    <w:rsid w:val="06A719AD"/>
    <w:rsid w:val="07BC4304"/>
    <w:rsid w:val="08B84ACC"/>
    <w:rsid w:val="0987272A"/>
    <w:rsid w:val="0A0F696E"/>
    <w:rsid w:val="0A894972"/>
    <w:rsid w:val="0A946363"/>
    <w:rsid w:val="0AF32751"/>
    <w:rsid w:val="0AF76F18"/>
    <w:rsid w:val="0B57681E"/>
    <w:rsid w:val="0BE770C8"/>
    <w:rsid w:val="0CE916F8"/>
    <w:rsid w:val="0D4B4161"/>
    <w:rsid w:val="0D6C7E89"/>
    <w:rsid w:val="0DA11F7B"/>
    <w:rsid w:val="0DCB704F"/>
    <w:rsid w:val="0DFA5F30"/>
    <w:rsid w:val="0E2D3866"/>
    <w:rsid w:val="0E2F1FB3"/>
    <w:rsid w:val="0E607642"/>
    <w:rsid w:val="0E923236"/>
    <w:rsid w:val="0E93302C"/>
    <w:rsid w:val="0EE951A1"/>
    <w:rsid w:val="0F444F75"/>
    <w:rsid w:val="0F5E587E"/>
    <w:rsid w:val="10240C99"/>
    <w:rsid w:val="111331E7"/>
    <w:rsid w:val="119500A0"/>
    <w:rsid w:val="11C424DB"/>
    <w:rsid w:val="11E35765"/>
    <w:rsid w:val="124A17FD"/>
    <w:rsid w:val="12BB6DA5"/>
    <w:rsid w:val="13477178"/>
    <w:rsid w:val="134D0507"/>
    <w:rsid w:val="139B74C4"/>
    <w:rsid w:val="13C44C6D"/>
    <w:rsid w:val="13FD3CDB"/>
    <w:rsid w:val="14061913"/>
    <w:rsid w:val="147E3153"/>
    <w:rsid w:val="148E5A3D"/>
    <w:rsid w:val="14982445"/>
    <w:rsid w:val="14CF1B1B"/>
    <w:rsid w:val="15B82D9B"/>
    <w:rsid w:val="15CF16A7"/>
    <w:rsid w:val="15EA3C75"/>
    <w:rsid w:val="15EF1E88"/>
    <w:rsid w:val="164D0B6A"/>
    <w:rsid w:val="16E41182"/>
    <w:rsid w:val="16E66D2F"/>
    <w:rsid w:val="16F149DC"/>
    <w:rsid w:val="17194F92"/>
    <w:rsid w:val="17370CD5"/>
    <w:rsid w:val="17F673BF"/>
    <w:rsid w:val="18B74DA0"/>
    <w:rsid w:val="1A497C7A"/>
    <w:rsid w:val="1A8962C8"/>
    <w:rsid w:val="1B334486"/>
    <w:rsid w:val="1BB52E68"/>
    <w:rsid w:val="1BCF6C35"/>
    <w:rsid w:val="1D8D2573"/>
    <w:rsid w:val="1DE121DD"/>
    <w:rsid w:val="1DF148B0"/>
    <w:rsid w:val="1F106FB8"/>
    <w:rsid w:val="1F335F33"/>
    <w:rsid w:val="2020147D"/>
    <w:rsid w:val="20476A09"/>
    <w:rsid w:val="20ED435C"/>
    <w:rsid w:val="213D605E"/>
    <w:rsid w:val="217F6677"/>
    <w:rsid w:val="21A8797C"/>
    <w:rsid w:val="21EB2429"/>
    <w:rsid w:val="224A0A33"/>
    <w:rsid w:val="23737B15"/>
    <w:rsid w:val="238175C8"/>
    <w:rsid w:val="24FD1D8D"/>
    <w:rsid w:val="268362C1"/>
    <w:rsid w:val="2794200E"/>
    <w:rsid w:val="27A26C1B"/>
    <w:rsid w:val="28096C9A"/>
    <w:rsid w:val="28902F18"/>
    <w:rsid w:val="28AE4BAF"/>
    <w:rsid w:val="28DF0318"/>
    <w:rsid w:val="29121B7F"/>
    <w:rsid w:val="2A6C1B81"/>
    <w:rsid w:val="2AC913EA"/>
    <w:rsid w:val="2B2B0F2A"/>
    <w:rsid w:val="2B797C93"/>
    <w:rsid w:val="2B865F42"/>
    <w:rsid w:val="2BBD7F84"/>
    <w:rsid w:val="2BC25ADE"/>
    <w:rsid w:val="2CE83322"/>
    <w:rsid w:val="2CED4EF9"/>
    <w:rsid w:val="2D8D1E53"/>
    <w:rsid w:val="2DFD503A"/>
    <w:rsid w:val="2E7C605B"/>
    <w:rsid w:val="2F4862FA"/>
    <w:rsid w:val="2F621DA1"/>
    <w:rsid w:val="307F7AFA"/>
    <w:rsid w:val="319A0963"/>
    <w:rsid w:val="31A02DF6"/>
    <w:rsid w:val="33371336"/>
    <w:rsid w:val="33B26438"/>
    <w:rsid w:val="34272982"/>
    <w:rsid w:val="34925F6D"/>
    <w:rsid w:val="35A72C66"/>
    <w:rsid w:val="35D5640E"/>
    <w:rsid w:val="36201D7F"/>
    <w:rsid w:val="364A34A1"/>
    <w:rsid w:val="36940077"/>
    <w:rsid w:val="36A83594"/>
    <w:rsid w:val="372B50A7"/>
    <w:rsid w:val="3803470F"/>
    <w:rsid w:val="381C20D2"/>
    <w:rsid w:val="38D40BFF"/>
    <w:rsid w:val="38EA0422"/>
    <w:rsid w:val="3A573895"/>
    <w:rsid w:val="3ABE3914"/>
    <w:rsid w:val="3BB32D4D"/>
    <w:rsid w:val="3C432323"/>
    <w:rsid w:val="3D762284"/>
    <w:rsid w:val="3F450160"/>
    <w:rsid w:val="415457DC"/>
    <w:rsid w:val="41586DF8"/>
    <w:rsid w:val="419A76E9"/>
    <w:rsid w:val="43F71686"/>
    <w:rsid w:val="44F60491"/>
    <w:rsid w:val="458676CC"/>
    <w:rsid w:val="45ED3300"/>
    <w:rsid w:val="464B2FDE"/>
    <w:rsid w:val="46A75DE0"/>
    <w:rsid w:val="46BE351D"/>
    <w:rsid w:val="470D3C59"/>
    <w:rsid w:val="473C453F"/>
    <w:rsid w:val="4743767B"/>
    <w:rsid w:val="48594C7C"/>
    <w:rsid w:val="488E4926"/>
    <w:rsid w:val="49B52386"/>
    <w:rsid w:val="4A6F2535"/>
    <w:rsid w:val="4CD9638C"/>
    <w:rsid w:val="4CF03E01"/>
    <w:rsid w:val="4D2D12DA"/>
    <w:rsid w:val="4D4C4DB0"/>
    <w:rsid w:val="4D6720AD"/>
    <w:rsid w:val="4D6F5E2A"/>
    <w:rsid w:val="4D897DB2"/>
    <w:rsid w:val="4DEE5CEE"/>
    <w:rsid w:val="4E46798E"/>
    <w:rsid w:val="4F0E67C1"/>
    <w:rsid w:val="4F2A2ECF"/>
    <w:rsid w:val="501E2A33"/>
    <w:rsid w:val="50E13A61"/>
    <w:rsid w:val="5133250E"/>
    <w:rsid w:val="525127A0"/>
    <w:rsid w:val="52BB0F07"/>
    <w:rsid w:val="53B10062"/>
    <w:rsid w:val="53C5766A"/>
    <w:rsid w:val="5426635A"/>
    <w:rsid w:val="54444A33"/>
    <w:rsid w:val="55C23E61"/>
    <w:rsid w:val="567C0C5D"/>
    <w:rsid w:val="56E66275"/>
    <w:rsid w:val="57C51EC7"/>
    <w:rsid w:val="58965D3A"/>
    <w:rsid w:val="590437CE"/>
    <w:rsid w:val="59AF0BA0"/>
    <w:rsid w:val="59D40607"/>
    <w:rsid w:val="59E27D3B"/>
    <w:rsid w:val="59E31533"/>
    <w:rsid w:val="5A2275C4"/>
    <w:rsid w:val="5A4C2893"/>
    <w:rsid w:val="5AA14600"/>
    <w:rsid w:val="5AB13E50"/>
    <w:rsid w:val="5B04316E"/>
    <w:rsid w:val="5C7627FF"/>
    <w:rsid w:val="5CC90EC8"/>
    <w:rsid w:val="5DB53F4B"/>
    <w:rsid w:val="5E435D5B"/>
    <w:rsid w:val="5E565A8E"/>
    <w:rsid w:val="5FE86BBA"/>
    <w:rsid w:val="600D03CE"/>
    <w:rsid w:val="60133411"/>
    <w:rsid w:val="6037369D"/>
    <w:rsid w:val="613D3E2A"/>
    <w:rsid w:val="616208DA"/>
    <w:rsid w:val="616C7312"/>
    <w:rsid w:val="637C7D45"/>
    <w:rsid w:val="639F57E1"/>
    <w:rsid w:val="643E324C"/>
    <w:rsid w:val="64406C73"/>
    <w:rsid w:val="65515201"/>
    <w:rsid w:val="656212E9"/>
    <w:rsid w:val="66A575B3"/>
    <w:rsid w:val="66DC6D4D"/>
    <w:rsid w:val="66F61BBC"/>
    <w:rsid w:val="66FC328E"/>
    <w:rsid w:val="67210391"/>
    <w:rsid w:val="6747066A"/>
    <w:rsid w:val="68F0088D"/>
    <w:rsid w:val="69C2047C"/>
    <w:rsid w:val="6A885221"/>
    <w:rsid w:val="6AE85CC0"/>
    <w:rsid w:val="6BA0659B"/>
    <w:rsid w:val="6BBD714D"/>
    <w:rsid w:val="6C042FCD"/>
    <w:rsid w:val="6C5555D7"/>
    <w:rsid w:val="6C7F4402"/>
    <w:rsid w:val="6CDE55CC"/>
    <w:rsid w:val="6D2C27DC"/>
    <w:rsid w:val="6D2D3E5E"/>
    <w:rsid w:val="6D65184A"/>
    <w:rsid w:val="6D790225"/>
    <w:rsid w:val="6D7D4DE5"/>
    <w:rsid w:val="6E22598D"/>
    <w:rsid w:val="6EA14B04"/>
    <w:rsid w:val="6F64242C"/>
    <w:rsid w:val="70172912"/>
    <w:rsid w:val="70291255"/>
    <w:rsid w:val="70551426"/>
    <w:rsid w:val="70BA00FF"/>
    <w:rsid w:val="70D16C36"/>
    <w:rsid w:val="71105D4B"/>
    <w:rsid w:val="71341C5F"/>
    <w:rsid w:val="714E7E00"/>
    <w:rsid w:val="720930EC"/>
    <w:rsid w:val="72426C57"/>
    <w:rsid w:val="729329B5"/>
    <w:rsid w:val="73422F60"/>
    <w:rsid w:val="74633805"/>
    <w:rsid w:val="748D1686"/>
    <w:rsid w:val="75267B11"/>
    <w:rsid w:val="75FFA47E"/>
    <w:rsid w:val="76326989"/>
    <w:rsid w:val="78BD078C"/>
    <w:rsid w:val="78F543CA"/>
    <w:rsid w:val="793E1321"/>
    <w:rsid w:val="79955265"/>
    <w:rsid w:val="7A85352B"/>
    <w:rsid w:val="7A920758"/>
    <w:rsid w:val="7B51165F"/>
    <w:rsid w:val="7C1A5F8F"/>
    <w:rsid w:val="7CDD34FE"/>
    <w:rsid w:val="7D5D7AB7"/>
    <w:rsid w:val="7E1A2F3E"/>
    <w:rsid w:val="7E536B04"/>
    <w:rsid w:val="7E81400A"/>
    <w:rsid w:val="D524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1"/>
    <w:pPr>
      <w:ind w:left="758"/>
      <w:outlineLvl w:val="0"/>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qFormat/>
    <w:uiPriority w:val="1"/>
    <w:pPr>
      <w:spacing w:before="81"/>
      <w:ind w:left="713"/>
      <w:outlineLvl w:val="1"/>
    </w:pPr>
    <w:rPr>
      <w:rFonts w:ascii="楷体" w:hAnsi="楷体" w:eastAsia="楷体" w:cs="楷体"/>
      <w:sz w:val="28"/>
      <w:szCs w:val="28"/>
      <w:lang w:val="zh-CN" w:eastAsia="zh-CN" w:bidi="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Body Text Indent"/>
    <w:basedOn w:val="1"/>
    <w:next w:val="7"/>
    <w:unhideWhenUsed/>
    <w:qFormat/>
    <w:uiPriority w:val="0"/>
    <w:pPr>
      <w:spacing w:after="120"/>
      <w:ind w:left="420"/>
    </w:pPr>
  </w:style>
  <w:style w:type="paragraph" w:styleId="7">
    <w:name w:val="Body Text First Indent 2"/>
    <w:basedOn w:val="6"/>
    <w:qFormat/>
    <w:uiPriority w:val="0"/>
    <w:pPr>
      <w:ind w:firstLine="420" w:firstLineChars="200"/>
      <w:jc w:val="both"/>
    </w:pPr>
    <w:rPr>
      <w:rFonts w:ascii="Calibri" w:eastAsia="宋体" w:cs="Arial"/>
      <w:sz w:val="21"/>
      <w:szCs w:val="22"/>
    </w:rPr>
  </w:style>
  <w:style w:type="paragraph" w:styleId="8">
    <w:name w:val="index 4"/>
    <w:basedOn w:val="1"/>
    <w:next w:val="1"/>
    <w:unhideWhenUsed/>
    <w:qFormat/>
    <w:uiPriority w:val="99"/>
    <w:pPr>
      <w:ind w:left="1260"/>
    </w:pPr>
    <w:rPr>
      <w:rFonts w:eastAsia="华文楷体"/>
    </w:rPr>
  </w:style>
  <w:style w:type="paragraph" w:styleId="9">
    <w:name w:val="footer"/>
    <w:basedOn w:val="1"/>
    <w:link w:val="62"/>
    <w:qFormat/>
    <w:uiPriority w:val="0"/>
    <w:pPr>
      <w:tabs>
        <w:tab w:val="center" w:pos="4153"/>
        <w:tab w:val="right" w:pos="8306"/>
      </w:tabs>
      <w:snapToGrid w:val="0"/>
    </w:pPr>
    <w:rPr>
      <w:sz w:val="18"/>
    </w:rPr>
  </w:style>
  <w:style w:type="paragraph" w:styleId="10">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style>
  <w:style w:type="paragraph" w:styleId="12">
    <w:name w:val="toc 2"/>
    <w:basedOn w:val="1"/>
    <w:next w:val="1"/>
    <w:unhideWhenUsed/>
    <w:qFormat/>
    <w:uiPriority w:val="39"/>
    <w:pPr>
      <w:spacing w:before="102"/>
      <w:ind w:left="600"/>
    </w:pPr>
    <w:rPr>
      <w:rFonts w:ascii="楷体" w:hAnsi="楷体" w:eastAsia="楷体" w:cs="楷体"/>
      <w:sz w:val="28"/>
      <w:szCs w:val="28"/>
      <w:lang w:val="zh-CN" w:bidi="zh-CN"/>
    </w:rPr>
  </w:style>
  <w:style w:type="paragraph" w:styleId="13">
    <w:name w:val="Normal (Web)"/>
    <w:basedOn w:val="1"/>
    <w:qFormat/>
    <w:uiPriority w:val="0"/>
    <w:pPr>
      <w:widowControl/>
      <w:spacing w:before="100" w:beforeAutospacing="1" w:after="100" w:afterAutospacing="1"/>
    </w:pPr>
    <w:rPr>
      <w:rFonts w:ascii="宋体" w:hAnsi="宋体" w:cs="宋体"/>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font151"/>
    <w:qFormat/>
    <w:uiPriority w:val="0"/>
    <w:rPr>
      <w:rFonts w:hint="default" w:ascii="Calibri" w:hAnsi="Calibri" w:cs="Calibri"/>
      <w:color w:val="000000"/>
      <w:sz w:val="20"/>
      <w:szCs w:val="20"/>
      <w:u w:val="none"/>
      <w:lang w:val="en-US" w:eastAsia="en-US" w:bidi="en-US"/>
    </w:rPr>
  </w:style>
  <w:style w:type="character" w:customStyle="1" w:styleId="18">
    <w:name w:val="Table of contents|1_"/>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Table of contents|1"/>
    <w:basedOn w:val="1"/>
    <w:link w:val="18"/>
    <w:qFormat/>
    <w:uiPriority w:val="0"/>
    <w:pPr>
      <w:spacing w:after="160"/>
      <w:ind w:firstLine="560"/>
    </w:pPr>
    <w:rPr>
      <w:rFonts w:ascii="宋体" w:hAnsi="宋体" w:eastAsia="宋体" w:cs="宋体"/>
      <w:sz w:val="26"/>
      <w:szCs w:val="26"/>
      <w:lang w:val="zh-TW" w:eastAsia="zh-TW" w:bidi="zh-TW"/>
    </w:rPr>
  </w:style>
  <w:style w:type="character" w:customStyle="1" w:styleId="20">
    <w:name w:val="font131"/>
    <w:qFormat/>
    <w:uiPriority w:val="0"/>
    <w:rPr>
      <w:rFonts w:hint="eastAsia" w:ascii="仿宋" w:hAnsi="仿宋" w:eastAsia="仿宋" w:cs="仿宋"/>
      <w:color w:val="000000"/>
      <w:sz w:val="20"/>
      <w:szCs w:val="20"/>
      <w:u w:val="none"/>
      <w:lang w:val="en-US" w:eastAsia="en-US" w:bidi="en-US"/>
    </w:rPr>
  </w:style>
  <w:style w:type="character" w:customStyle="1" w:styleId="21">
    <w:name w:val="font21"/>
    <w:qFormat/>
    <w:uiPriority w:val="0"/>
    <w:rPr>
      <w:rFonts w:hint="eastAsia" w:ascii="仿宋" w:hAnsi="仿宋" w:eastAsia="仿宋" w:cs="仿宋"/>
      <w:color w:val="000000"/>
      <w:sz w:val="20"/>
      <w:szCs w:val="20"/>
      <w:u w:val="none"/>
      <w:lang w:val="en-US" w:eastAsia="en-US" w:bidi="en-US"/>
    </w:rPr>
  </w:style>
  <w:style w:type="character" w:customStyle="1" w:styleId="22">
    <w:name w:val="Header or footer|1_"/>
    <w:link w:val="23"/>
    <w:qFormat/>
    <w:uiPriority w:val="0"/>
    <w:rPr>
      <w:sz w:val="17"/>
      <w:szCs w:val="17"/>
      <w:u w:val="none"/>
      <w:shd w:val="clear" w:color="auto" w:fill="auto"/>
      <w:lang w:val="zh-TW" w:eastAsia="zh-TW" w:bidi="zh-TW"/>
    </w:rPr>
  </w:style>
  <w:style w:type="paragraph" w:customStyle="1" w:styleId="23">
    <w:name w:val="Header or footer|1"/>
    <w:basedOn w:val="1"/>
    <w:link w:val="22"/>
    <w:qFormat/>
    <w:uiPriority w:val="0"/>
    <w:rPr>
      <w:sz w:val="17"/>
      <w:szCs w:val="17"/>
      <w:lang w:val="zh-TW" w:eastAsia="zh-TW" w:bidi="zh-TW"/>
    </w:rPr>
  </w:style>
  <w:style w:type="character" w:customStyle="1" w:styleId="24">
    <w:name w:val="font161"/>
    <w:qFormat/>
    <w:uiPriority w:val="0"/>
    <w:rPr>
      <w:rFonts w:ascii="微软雅黑" w:hAnsi="微软雅黑" w:eastAsia="微软雅黑" w:cs="微软雅黑"/>
      <w:color w:val="000000"/>
      <w:sz w:val="20"/>
      <w:szCs w:val="20"/>
      <w:u w:val="none"/>
      <w:lang w:val="en-US" w:eastAsia="en-US" w:bidi="en-US"/>
    </w:rPr>
  </w:style>
  <w:style w:type="character" w:customStyle="1" w:styleId="25">
    <w:name w:val="font101"/>
    <w:qFormat/>
    <w:uiPriority w:val="0"/>
    <w:rPr>
      <w:rFonts w:hint="default" w:ascii="Calibri" w:hAnsi="Calibri" w:cs="Calibri"/>
      <w:color w:val="000000"/>
      <w:sz w:val="30"/>
      <w:szCs w:val="30"/>
      <w:u w:val="none"/>
      <w:lang w:val="en-US" w:eastAsia="en-US" w:bidi="en-US"/>
    </w:rPr>
  </w:style>
  <w:style w:type="character" w:customStyle="1" w:styleId="26">
    <w:name w:val="font11"/>
    <w:qFormat/>
    <w:uiPriority w:val="0"/>
    <w:rPr>
      <w:rFonts w:hint="eastAsia" w:ascii="宋体" w:hAnsi="宋体" w:eastAsia="宋体" w:cs="宋体"/>
      <w:color w:val="000000"/>
      <w:sz w:val="30"/>
      <w:szCs w:val="30"/>
      <w:u w:val="none"/>
      <w:lang w:val="en-US" w:eastAsia="en-US" w:bidi="en-US"/>
    </w:rPr>
  </w:style>
  <w:style w:type="character" w:customStyle="1" w:styleId="27">
    <w:name w:val="Other|2_"/>
    <w:link w:val="28"/>
    <w:qFormat/>
    <w:uiPriority w:val="0"/>
    <w:rPr>
      <w:rFonts w:ascii="宋体" w:hAnsi="宋体" w:eastAsia="宋体" w:cs="宋体"/>
      <w:sz w:val="20"/>
      <w:szCs w:val="20"/>
      <w:u w:val="none"/>
      <w:shd w:val="clear" w:color="auto" w:fill="auto"/>
      <w:lang w:val="zh-TW" w:eastAsia="zh-TW" w:bidi="zh-TW"/>
    </w:rPr>
  </w:style>
  <w:style w:type="paragraph" w:customStyle="1" w:styleId="28">
    <w:name w:val="Other|2"/>
    <w:basedOn w:val="1"/>
    <w:link w:val="27"/>
    <w:qFormat/>
    <w:uiPriority w:val="0"/>
    <w:pPr>
      <w:spacing w:line="223" w:lineRule="exact"/>
      <w:jc w:val="center"/>
    </w:pPr>
    <w:rPr>
      <w:rFonts w:ascii="宋体" w:hAnsi="宋体" w:eastAsia="宋体" w:cs="宋体"/>
      <w:sz w:val="20"/>
      <w:szCs w:val="20"/>
      <w:lang w:val="zh-TW" w:eastAsia="zh-TW" w:bidi="zh-TW"/>
    </w:rPr>
  </w:style>
  <w:style w:type="character" w:customStyle="1" w:styleId="29">
    <w:name w:val="font81"/>
    <w:qFormat/>
    <w:uiPriority w:val="0"/>
    <w:rPr>
      <w:rFonts w:hint="eastAsia" w:ascii="宋体" w:hAnsi="宋体" w:eastAsia="宋体" w:cs="宋体"/>
      <w:color w:val="000000"/>
      <w:sz w:val="20"/>
      <w:szCs w:val="20"/>
      <w:u w:val="none"/>
      <w:lang w:val="en-US" w:eastAsia="en-US" w:bidi="en-US"/>
    </w:rPr>
  </w:style>
  <w:style w:type="character" w:customStyle="1" w:styleId="30">
    <w:name w:val="font91"/>
    <w:qFormat/>
    <w:uiPriority w:val="0"/>
    <w:rPr>
      <w:rFonts w:hint="eastAsia" w:ascii="微软雅黑" w:hAnsi="微软雅黑" w:eastAsia="微软雅黑" w:cs="微软雅黑"/>
      <w:color w:val="000000"/>
      <w:sz w:val="30"/>
      <w:szCs w:val="30"/>
      <w:u w:val="none"/>
      <w:lang w:val="en-US" w:eastAsia="en-US" w:bidi="en-US"/>
    </w:rPr>
  </w:style>
  <w:style w:type="character" w:customStyle="1" w:styleId="31">
    <w:name w:val="Body text|1_"/>
    <w:link w:val="32"/>
    <w:qFormat/>
    <w:uiPriority w:val="0"/>
    <w:rPr>
      <w:rFonts w:ascii="宋体" w:hAnsi="宋体" w:eastAsia="宋体" w:cs="宋体"/>
      <w:sz w:val="30"/>
      <w:szCs w:val="30"/>
      <w:u w:val="none"/>
      <w:shd w:val="clear" w:color="auto" w:fill="auto"/>
      <w:lang w:val="zh-TW" w:eastAsia="zh-TW" w:bidi="zh-TW"/>
    </w:rPr>
  </w:style>
  <w:style w:type="paragraph" w:customStyle="1" w:styleId="32">
    <w:name w:val="Body text|1"/>
    <w:basedOn w:val="1"/>
    <w:link w:val="31"/>
    <w:qFormat/>
    <w:uiPriority w:val="0"/>
    <w:pPr>
      <w:spacing w:line="312" w:lineRule="auto"/>
      <w:ind w:firstLine="400"/>
    </w:pPr>
    <w:rPr>
      <w:rFonts w:ascii="宋体" w:hAnsi="宋体" w:eastAsia="宋体" w:cs="宋体"/>
      <w:sz w:val="30"/>
      <w:szCs w:val="30"/>
      <w:lang w:val="zh-TW" w:eastAsia="zh-TW" w:bidi="zh-TW"/>
    </w:rPr>
  </w:style>
  <w:style w:type="character" w:customStyle="1" w:styleId="33">
    <w:name w:val="font112"/>
    <w:qFormat/>
    <w:uiPriority w:val="0"/>
    <w:rPr>
      <w:rFonts w:hint="eastAsia" w:ascii="仿宋" w:hAnsi="仿宋" w:eastAsia="仿宋" w:cs="仿宋"/>
      <w:color w:val="000000"/>
      <w:sz w:val="30"/>
      <w:szCs w:val="30"/>
      <w:u w:val="none"/>
      <w:lang w:val="en-US" w:eastAsia="en-US" w:bidi="en-US"/>
    </w:rPr>
  </w:style>
  <w:style w:type="character" w:customStyle="1" w:styleId="34">
    <w:name w:val="Other|1_"/>
    <w:link w:val="35"/>
    <w:qFormat/>
    <w:uiPriority w:val="0"/>
    <w:rPr>
      <w:rFonts w:ascii="宋体" w:hAnsi="宋体" w:eastAsia="宋体" w:cs="宋体"/>
      <w:sz w:val="30"/>
      <w:szCs w:val="30"/>
      <w:u w:val="none"/>
      <w:shd w:val="clear" w:color="auto" w:fill="auto"/>
      <w:lang w:val="zh-TW" w:eastAsia="zh-TW" w:bidi="zh-TW"/>
    </w:rPr>
  </w:style>
  <w:style w:type="paragraph" w:customStyle="1" w:styleId="35">
    <w:name w:val="Other|1"/>
    <w:basedOn w:val="1"/>
    <w:link w:val="34"/>
    <w:qFormat/>
    <w:uiPriority w:val="0"/>
    <w:pPr>
      <w:spacing w:line="312" w:lineRule="auto"/>
      <w:ind w:firstLine="400"/>
    </w:pPr>
    <w:rPr>
      <w:rFonts w:ascii="宋体" w:hAnsi="宋体" w:eastAsia="宋体" w:cs="宋体"/>
      <w:sz w:val="30"/>
      <w:szCs w:val="30"/>
      <w:lang w:val="zh-TW" w:eastAsia="zh-TW" w:bidi="zh-TW"/>
    </w:rPr>
  </w:style>
  <w:style w:type="character" w:customStyle="1" w:styleId="36">
    <w:name w:val="Body text|3_"/>
    <w:link w:val="37"/>
    <w:qFormat/>
    <w:uiPriority w:val="0"/>
    <w:rPr>
      <w:rFonts w:ascii="宋体" w:hAnsi="宋体" w:eastAsia="宋体" w:cs="宋体"/>
      <w:sz w:val="26"/>
      <w:szCs w:val="26"/>
      <w:u w:val="none"/>
      <w:shd w:val="clear" w:color="auto" w:fill="auto"/>
      <w:lang w:val="zh-TW" w:eastAsia="zh-TW" w:bidi="zh-TW"/>
    </w:rPr>
  </w:style>
  <w:style w:type="paragraph" w:customStyle="1" w:styleId="37">
    <w:name w:val="Body text|3"/>
    <w:basedOn w:val="1"/>
    <w:link w:val="36"/>
    <w:qFormat/>
    <w:uiPriority w:val="0"/>
    <w:pPr>
      <w:spacing w:after="1400"/>
      <w:ind w:left="1900"/>
    </w:pPr>
    <w:rPr>
      <w:rFonts w:ascii="宋体" w:hAnsi="宋体" w:eastAsia="宋体" w:cs="宋体"/>
      <w:sz w:val="26"/>
      <w:szCs w:val="26"/>
      <w:lang w:val="zh-TW" w:eastAsia="zh-TW" w:bidi="zh-TW"/>
    </w:rPr>
  </w:style>
  <w:style w:type="character" w:customStyle="1" w:styleId="38">
    <w:name w:val="Heading #2|1_"/>
    <w:link w:val="39"/>
    <w:qFormat/>
    <w:uiPriority w:val="0"/>
    <w:rPr>
      <w:rFonts w:ascii="宋体" w:hAnsi="宋体" w:eastAsia="宋体" w:cs="宋体"/>
      <w:sz w:val="44"/>
      <w:szCs w:val="44"/>
      <w:u w:val="none"/>
      <w:shd w:val="clear" w:color="auto" w:fill="auto"/>
      <w:lang w:val="zh-TW" w:eastAsia="zh-TW" w:bidi="zh-TW"/>
    </w:rPr>
  </w:style>
  <w:style w:type="paragraph" w:customStyle="1" w:styleId="39">
    <w:name w:val="Heading #2|1"/>
    <w:basedOn w:val="1"/>
    <w:link w:val="38"/>
    <w:qFormat/>
    <w:uiPriority w:val="0"/>
    <w:pPr>
      <w:spacing w:after="520" w:line="254" w:lineRule="auto"/>
      <w:jc w:val="center"/>
      <w:outlineLvl w:val="1"/>
    </w:pPr>
    <w:rPr>
      <w:rFonts w:ascii="宋体" w:hAnsi="宋体" w:eastAsia="宋体" w:cs="宋体"/>
      <w:sz w:val="44"/>
      <w:szCs w:val="44"/>
      <w:lang w:val="zh-TW" w:eastAsia="zh-TW" w:bidi="zh-TW"/>
    </w:rPr>
  </w:style>
  <w:style w:type="character" w:customStyle="1" w:styleId="40">
    <w:name w:val="Header or footer|2_"/>
    <w:link w:val="41"/>
    <w:qFormat/>
    <w:uiPriority w:val="0"/>
    <w:rPr>
      <w:sz w:val="20"/>
      <w:szCs w:val="20"/>
      <w:u w:val="none"/>
      <w:shd w:val="clear" w:color="auto" w:fill="auto"/>
      <w:lang w:val="zh-TW" w:eastAsia="zh-TW" w:bidi="zh-TW"/>
    </w:rPr>
  </w:style>
  <w:style w:type="paragraph" w:customStyle="1" w:styleId="41">
    <w:name w:val="Header or footer|2"/>
    <w:basedOn w:val="1"/>
    <w:link w:val="40"/>
    <w:qFormat/>
    <w:uiPriority w:val="0"/>
    <w:rPr>
      <w:sz w:val="20"/>
      <w:szCs w:val="20"/>
      <w:lang w:val="zh-TW" w:eastAsia="zh-TW" w:bidi="zh-TW"/>
    </w:rPr>
  </w:style>
  <w:style w:type="character" w:customStyle="1" w:styleId="42">
    <w:name w:val="font01"/>
    <w:qFormat/>
    <w:uiPriority w:val="0"/>
    <w:rPr>
      <w:rFonts w:ascii="Arial" w:hAnsi="Arial" w:cs="Arial"/>
      <w:color w:val="000000"/>
      <w:sz w:val="20"/>
      <w:szCs w:val="20"/>
      <w:u w:val="none"/>
      <w:lang w:val="en-US" w:eastAsia="en-US" w:bidi="en-US"/>
    </w:rPr>
  </w:style>
  <w:style w:type="character" w:customStyle="1" w:styleId="43">
    <w:name w:val="Body text|4_"/>
    <w:link w:val="44"/>
    <w:qFormat/>
    <w:uiPriority w:val="0"/>
    <w:rPr>
      <w:sz w:val="28"/>
      <w:szCs w:val="28"/>
      <w:u w:val="none"/>
      <w:shd w:val="clear" w:color="auto" w:fill="auto"/>
      <w:lang w:val="zh-TW" w:eastAsia="zh-TW" w:bidi="zh-TW"/>
    </w:rPr>
  </w:style>
  <w:style w:type="paragraph" w:customStyle="1" w:styleId="44">
    <w:name w:val="Body text|4"/>
    <w:basedOn w:val="1"/>
    <w:link w:val="43"/>
    <w:qFormat/>
    <w:uiPriority w:val="0"/>
    <w:pPr>
      <w:jc w:val="center"/>
    </w:pPr>
    <w:rPr>
      <w:sz w:val="28"/>
      <w:szCs w:val="28"/>
      <w:lang w:val="zh-TW" w:eastAsia="zh-TW" w:bidi="zh-TW"/>
    </w:rPr>
  </w:style>
  <w:style w:type="character" w:customStyle="1" w:styleId="45">
    <w:name w:val="font31"/>
    <w:qFormat/>
    <w:uiPriority w:val="0"/>
    <w:rPr>
      <w:rFonts w:ascii="MingLiU" w:hAnsi="MingLiU" w:eastAsia="MingLiU" w:cs="MingLiU"/>
      <w:color w:val="000000"/>
      <w:sz w:val="20"/>
      <w:szCs w:val="20"/>
      <w:u w:val="none"/>
      <w:lang w:val="en-US" w:eastAsia="en-US" w:bidi="en-US"/>
    </w:rPr>
  </w:style>
  <w:style w:type="character" w:customStyle="1" w:styleId="46">
    <w:name w:val="Heading #1|1_"/>
    <w:link w:val="47"/>
    <w:qFormat/>
    <w:uiPriority w:val="0"/>
    <w:rPr>
      <w:rFonts w:ascii="宋体" w:hAnsi="宋体" w:eastAsia="宋体" w:cs="宋体"/>
      <w:color w:val="F7645F"/>
      <w:sz w:val="100"/>
      <w:szCs w:val="100"/>
      <w:u w:val="none"/>
      <w:shd w:val="clear" w:color="auto" w:fill="auto"/>
      <w:lang w:val="zh-TW" w:eastAsia="zh-TW" w:bidi="zh-TW"/>
    </w:rPr>
  </w:style>
  <w:style w:type="paragraph" w:customStyle="1" w:styleId="47">
    <w:name w:val="Heading #1|1"/>
    <w:basedOn w:val="1"/>
    <w:link w:val="46"/>
    <w:qFormat/>
    <w:uiPriority w:val="0"/>
    <w:pPr>
      <w:spacing w:after="1160"/>
      <w:outlineLvl w:val="0"/>
    </w:pPr>
    <w:rPr>
      <w:rFonts w:ascii="宋体" w:hAnsi="宋体" w:eastAsia="宋体" w:cs="宋体"/>
      <w:color w:val="F7645F"/>
      <w:sz w:val="100"/>
      <w:szCs w:val="100"/>
      <w:lang w:val="zh-TW" w:eastAsia="zh-TW" w:bidi="zh-TW"/>
    </w:rPr>
  </w:style>
  <w:style w:type="character" w:customStyle="1" w:styleId="48">
    <w:name w:val="Body text|2_"/>
    <w:link w:val="49"/>
    <w:qFormat/>
    <w:uiPriority w:val="0"/>
    <w:rPr>
      <w:sz w:val="32"/>
      <w:szCs w:val="32"/>
      <w:u w:val="none"/>
      <w:shd w:val="clear" w:color="auto" w:fill="auto"/>
      <w:lang w:val="zh-TW" w:eastAsia="zh-TW" w:bidi="zh-TW"/>
    </w:rPr>
  </w:style>
  <w:style w:type="paragraph" w:customStyle="1" w:styleId="49">
    <w:name w:val="Body text|2"/>
    <w:basedOn w:val="1"/>
    <w:link w:val="48"/>
    <w:qFormat/>
    <w:uiPriority w:val="0"/>
    <w:pPr>
      <w:spacing w:line="533" w:lineRule="exact"/>
    </w:pPr>
    <w:rPr>
      <w:sz w:val="32"/>
      <w:szCs w:val="32"/>
      <w:lang w:val="zh-TW" w:eastAsia="zh-TW" w:bidi="zh-TW"/>
    </w:rPr>
  </w:style>
  <w:style w:type="character" w:customStyle="1" w:styleId="50">
    <w:name w:val="font121"/>
    <w:qFormat/>
    <w:uiPriority w:val="0"/>
    <w:rPr>
      <w:rFonts w:ascii="宋体" w:hAnsi="宋体" w:eastAsia="宋体" w:cs="宋体"/>
      <w:color w:val="000000"/>
      <w:sz w:val="20"/>
      <w:szCs w:val="20"/>
      <w:u w:val="none"/>
      <w:lang w:val="en-US" w:eastAsia="en-US" w:bidi="en-US"/>
    </w:rPr>
  </w:style>
  <w:style w:type="character" w:customStyle="1" w:styleId="51">
    <w:name w:val="Picture caption|1_"/>
    <w:link w:val="52"/>
    <w:qFormat/>
    <w:uiPriority w:val="0"/>
    <w:rPr>
      <w:rFonts w:ascii="宋体" w:hAnsi="宋体" w:eastAsia="宋体" w:cs="宋体"/>
      <w:sz w:val="30"/>
      <w:szCs w:val="30"/>
      <w:u w:val="none"/>
      <w:shd w:val="clear" w:color="auto" w:fill="auto"/>
      <w:lang w:val="zh-TW" w:eastAsia="zh-TW" w:bidi="zh-TW"/>
    </w:rPr>
  </w:style>
  <w:style w:type="paragraph" w:customStyle="1" w:styleId="52">
    <w:name w:val="Picture caption|1"/>
    <w:basedOn w:val="1"/>
    <w:link w:val="51"/>
    <w:qFormat/>
    <w:uiPriority w:val="0"/>
    <w:pPr>
      <w:ind w:left="-20"/>
      <w:jc w:val="center"/>
    </w:pPr>
    <w:rPr>
      <w:rFonts w:ascii="宋体" w:hAnsi="宋体" w:eastAsia="宋体" w:cs="宋体"/>
      <w:sz w:val="30"/>
      <w:szCs w:val="30"/>
      <w:lang w:val="zh-TW" w:eastAsia="zh-TW" w:bidi="zh-TW"/>
    </w:rPr>
  </w:style>
  <w:style w:type="character" w:customStyle="1" w:styleId="53">
    <w:name w:val="font61"/>
    <w:qFormat/>
    <w:uiPriority w:val="0"/>
    <w:rPr>
      <w:rFonts w:hint="eastAsia" w:ascii="宋体" w:hAnsi="宋体" w:eastAsia="宋体" w:cs="宋体"/>
      <w:color w:val="FF0000"/>
      <w:sz w:val="22"/>
      <w:szCs w:val="22"/>
      <w:u w:val="none"/>
      <w:lang w:val="en-US" w:eastAsia="en-US" w:bidi="en-US"/>
    </w:rPr>
  </w:style>
  <w:style w:type="character" w:customStyle="1" w:styleId="54">
    <w:name w:val="font71"/>
    <w:qFormat/>
    <w:uiPriority w:val="0"/>
    <w:rPr>
      <w:rFonts w:ascii="Calibri" w:hAnsi="Calibri" w:cs="Calibri"/>
      <w:color w:val="000000"/>
      <w:sz w:val="20"/>
      <w:szCs w:val="20"/>
      <w:u w:val="none"/>
      <w:lang w:val="en-US" w:eastAsia="en-US" w:bidi="en-US"/>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Table Paragraph"/>
    <w:basedOn w:val="1"/>
    <w:qFormat/>
    <w:uiPriority w:val="1"/>
    <w:rPr>
      <w:rFonts w:ascii="仿宋" w:hAnsi="仿宋" w:eastAsia="仿宋" w:cs="仿宋"/>
      <w:lang w:val="zh-CN" w:eastAsia="zh-CN" w:bidi="zh-CN"/>
    </w:rPr>
  </w:style>
  <w:style w:type="paragraph" w:customStyle="1" w:styleId="5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8">
    <w:name w:val="正文-首行缩进"/>
    <w:qFormat/>
    <w:uiPriority w:val="0"/>
    <w:pPr>
      <w:ind w:firstLine="200" w:firstLineChars="200"/>
      <w:jc w:val="both"/>
    </w:pPr>
    <w:rPr>
      <w:rFonts w:ascii="Times New Roman" w:hAnsi="Times New Roman" w:eastAsia="宋体" w:cs="Times New Roman"/>
      <w:kern w:val="2"/>
      <w:sz w:val="24"/>
      <w:szCs w:val="28"/>
      <w:lang w:val="en-US" w:eastAsia="zh-CN" w:bidi="ar-SA"/>
    </w:rPr>
  </w:style>
  <w:style w:type="paragraph" w:customStyle="1" w:styleId="59">
    <w:name w:val="常用"/>
    <w:basedOn w:val="1"/>
    <w:qFormat/>
    <w:uiPriority w:val="0"/>
    <w:pPr>
      <w:spacing w:line="520" w:lineRule="exact"/>
      <w:ind w:firstLine="640" w:firstLineChars="200"/>
      <w:jc w:val="both"/>
    </w:pPr>
    <w:rPr>
      <w:rFonts w:eastAsia="仿宋_GB2312" w:cs="Arial"/>
      <w:szCs w:val="22"/>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1">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lang w:val="en-US" w:bidi="ar-SA"/>
    </w:rPr>
  </w:style>
  <w:style w:type="character" w:customStyle="1" w:styleId="62">
    <w:name w:val="页脚 字符"/>
    <w:basedOn w:val="15"/>
    <w:link w:val="9"/>
    <w:qFormat/>
    <w:uiPriority w:val="0"/>
    <w:rPr>
      <w:rFonts w:eastAsia="Times New Roman"/>
      <w:color w:val="000000"/>
      <w:sz w:val="18"/>
      <w:szCs w:val="24"/>
      <w:lang w:eastAsia="en-US" w:bidi="en-US"/>
    </w:rPr>
  </w:style>
  <w:style w:type="character" w:customStyle="1" w:styleId="63">
    <w:name w:val="页眉 字符"/>
    <w:basedOn w:val="15"/>
    <w:link w:val="10"/>
    <w:qFormat/>
    <w:uiPriority w:val="0"/>
    <w:rPr>
      <w:rFonts w:eastAsia="Times New Roman"/>
      <w:color w:val="000000"/>
      <w:sz w:val="18"/>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15335</Words>
  <Characters>16207</Characters>
  <Lines>132</Lines>
  <Paragraphs>37</Paragraphs>
  <TotalTime>23</TotalTime>
  <ScaleCrop>false</ScaleCrop>
  <LinksUpToDate>false</LinksUpToDate>
  <CharactersWithSpaces>16418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2021-07-11T09:29:00Z</dcterms:created>
  <dc:creator>zym</dc:creator>
  <cp:lastModifiedBy>NTKO</cp:lastModifiedBy>
  <cp:lastPrinted>2023-06-21T08:12:00Z</cp:lastPrinted>
  <dcterms:modified xsi:type="dcterms:W3CDTF">2023-06-21T09:53:45Z</dcterms:modified>
  <dc:title>KM_754e-20210323024850</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CD5AA755D6BF424D86F9EF15ECEA5B74_13</vt:lpwstr>
  </property>
</Properties>
</file>